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106</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301398</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cs="Arial"/>
          <w:b/>
          <w:sz w:val="24"/>
          <w:szCs w:val="24"/>
          <w:highlight w:val="none"/>
          <w:lang w:val="en-US" w:eastAsia="zh-CN"/>
        </w:rPr>
        <w:t>Athens</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G</w:t>
      </w:r>
      <w:r>
        <w:rPr>
          <w:rFonts w:hint="eastAsia" w:ascii="Arial" w:hAnsi="Arial" w:eastAsia="MS Mincho" w:cs="Arial"/>
          <w:b/>
          <w:sz w:val="24"/>
          <w:szCs w:val="24"/>
          <w:highlight w:val="none"/>
          <w:lang w:eastAsia="en-US"/>
        </w:rPr>
        <w:t>r</w:t>
      </w:r>
      <w:r>
        <w:rPr>
          <w:rFonts w:hint="eastAsia" w:ascii="Arial" w:hAnsi="Arial" w:eastAsia="宋体" w:cs="Arial"/>
          <w:b/>
          <w:sz w:val="24"/>
          <w:szCs w:val="24"/>
          <w:highlight w:val="none"/>
          <w:lang w:val="en-US" w:eastAsia="zh-CN"/>
        </w:rPr>
        <w:t>ee</w:t>
      </w:r>
      <w:r>
        <w:rPr>
          <w:rFonts w:hint="eastAsia" w:ascii="Arial" w:hAnsi="Arial" w:eastAsia="MS Mincho" w:cs="Arial"/>
          <w:b/>
          <w:sz w:val="24"/>
          <w:szCs w:val="24"/>
          <w:highlight w:val="none"/>
          <w:lang w:eastAsia="en-US"/>
        </w:rPr>
        <w:t>ce</w:t>
      </w:r>
      <w:r>
        <w:rPr>
          <w:rFonts w:ascii="Arial" w:hAnsi="Arial" w:eastAsia="宋体"/>
          <w:b/>
          <w:color w:val="auto"/>
          <w:sz w:val="24"/>
          <w:lang w:eastAsia="zh-CN"/>
        </w:rPr>
        <w:t xml:space="preserve">, </w:t>
      </w:r>
      <w:r>
        <w:rPr>
          <w:rFonts w:hint="eastAsia" w:ascii="Arial" w:hAnsi="Arial" w:eastAsia="宋体" w:cs="Arial"/>
          <w:b/>
          <w:bCs/>
          <w:sz w:val="24"/>
          <w:szCs w:val="24"/>
          <w:lang w:val="en-US" w:eastAsia="zh-CN"/>
        </w:rPr>
        <w:t xml:space="preserve">27 Feb </w:t>
      </w:r>
      <w:r>
        <w:rPr>
          <w:rFonts w:ascii="Arial" w:hAnsi="Arial" w:cs="Arial"/>
          <w:b/>
          <w:bCs/>
          <w:sz w:val="24"/>
          <w:szCs w:val="24"/>
        </w:rPr>
        <w:t>–</w:t>
      </w:r>
      <w:r>
        <w:rPr>
          <w:rFonts w:hint="eastAsia" w:ascii="Arial" w:hAnsi="Arial" w:eastAsia="宋体" w:cs="Arial"/>
          <w:b/>
          <w:bCs/>
          <w:sz w:val="24"/>
          <w:szCs w:val="24"/>
          <w:lang w:val="en-US" w:eastAsia="zh-CN"/>
        </w:rPr>
        <w:t xml:space="preserve"> 3</w:t>
      </w:r>
      <w:r>
        <w:rPr>
          <w:rFonts w:ascii="Arial" w:hAnsi="Arial" w:cs="Arial"/>
          <w:b/>
          <w:bCs/>
          <w:sz w:val="24"/>
          <w:szCs w:val="24"/>
        </w:rPr>
        <w:t xml:space="preserve"> </w:t>
      </w:r>
      <w:r>
        <w:rPr>
          <w:rFonts w:hint="eastAsia" w:ascii="Arial" w:hAnsi="Arial" w:eastAsia="宋体" w:cs="Arial"/>
          <w:b/>
          <w:bCs/>
          <w:sz w:val="24"/>
          <w:szCs w:val="24"/>
          <w:lang w:val="en-US" w:eastAsia="zh-CN"/>
        </w:rPr>
        <w:t>Mar</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bookmarkStart w:id="2" w:name="_GoBack"/>
      <w:bookmarkEnd w:id="2"/>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general aspects for air-to-ground network</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9.13.4.1</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96 meeting, a revised WID[1] for Rel-18 was approved </w:t>
      </w:r>
      <w:r>
        <w:rPr>
          <w:rFonts w:hint="eastAsia"/>
          <w:lang w:val="en-US" w:eastAsia="zh-CN"/>
        </w:rPr>
        <w:t>to study the air-to-ground for NR. The objective of this WID is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bCs/>
                <w:lang w:eastAsia="zh-CN"/>
              </w:rPr>
            </w:pPr>
            <w:r>
              <w:rPr>
                <w:rFonts w:hint="eastAsia"/>
                <w:bCs/>
                <w:lang w:eastAsia="zh-CN"/>
              </w:rPr>
              <w:t>T</w:t>
            </w:r>
            <w:r>
              <w:rPr>
                <w:bCs/>
                <w:lang w:eastAsia="zh-CN"/>
              </w:rPr>
              <w:t>he core part of this work item includes</w:t>
            </w:r>
          </w:p>
          <w:p>
            <w:pPr>
              <w:widowControl w:val="0"/>
              <w:numPr>
                <w:ilvl w:val="0"/>
                <w:numId w:val="4"/>
              </w:numPr>
              <w:overflowPunct/>
              <w:autoSpaceDE/>
              <w:autoSpaceDN/>
              <w:adjustRightInd/>
              <w:spacing w:after="0"/>
              <w:jc w:val="both"/>
              <w:textAlignment w:val="auto"/>
              <w:rPr>
                <w:kern w:val="2"/>
                <w:lang w:val="en-US" w:eastAsia="zh-CN"/>
              </w:rPr>
            </w:pPr>
            <w:r>
              <w:rPr>
                <w:kern w:val="2"/>
                <w:lang w:val="en-US" w:eastAsia="zh-CN"/>
              </w:rPr>
              <w:t xml:space="preserve">Specify features to core specifications </w:t>
            </w:r>
            <w:r>
              <w:rPr>
                <w:rFonts w:hint="eastAsia"/>
                <w:kern w:val="2"/>
                <w:lang w:val="en-US" w:eastAsia="zh-CN"/>
              </w:rPr>
              <w:t xml:space="preserve">for ATG BS and UE </w:t>
            </w:r>
            <w:r>
              <w:rPr>
                <w:kern w:val="2"/>
                <w:lang w:val="en-US" w:eastAsia="zh-CN"/>
              </w:rPr>
              <w:t>[RAN4]</w:t>
            </w:r>
          </w:p>
          <w:p>
            <w:pPr>
              <w:widowControl w:val="0"/>
              <w:numPr>
                <w:ilvl w:val="1"/>
                <w:numId w:val="4"/>
              </w:numPr>
              <w:overflowPunct/>
              <w:autoSpaceDE/>
              <w:autoSpaceDN/>
              <w:adjustRightInd/>
              <w:spacing w:after="0"/>
              <w:jc w:val="both"/>
              <w:textAlignment w:val="auto"/>
              <w:rPr>
                <w:kern w:val="2"/>
                <w:lang w:val="en-US" w:eastAsia="zh-CN"/>
              </w:rPr>
            </w:pPr>
            <w:r>
              <w:rPr>
                <w:kern w:val="2"/>
                <w:lang w:val="en-US" w:eastAsia="zh-CN"/>
              </w:rPr>
              <w:t xml:space="preserve">Scenario: </w:t>
            </w:r>
          </w:p>
          <w:p>
            <w:pPr>
              <w:widowControl w:val="0"/>
              <w:numPr>
                <w:ilvl w:val="2"/>
                <w:numId w:val="4"/>
              </w:numPr>
              <w:overflowPunct/>
              <w:autoSpaceDE/>
              <w:autoSpaceDN/>
              <w:adjustRightInd/>
              <w:spacing w:after="0"/>
              <w:jc w:val="both"/>
              <w:textAlignment w:val="auto"/>
              <w:rPr>
                <w:kern w:val="2"/>
                <w:lang w:val="en-US" w:eastAsia="zh-CN"/>
              </w:rPr>
            </w:pPr>
            <w:r>
              <w:rPr>
                <w:kern w:val="2"/>
                <w:lang w:val="en-US" w:eastAsia="zh-CN"/>
              </w:rPr>
              <w:t>BS on the ground, and the CPE type of UE mounted in the aircraft</w:t>
            </w:r>
          </w:p>
          <w:p>
            <w:pPr>
              <w:widowControl w:val="0"/>
              <w:numPr>
                <w:ilvl w:val="2"/>
                <w:numId w:val="4"/>
              </w:numPr>
              <w:overflowPunct/>
              <w:autoSpaceDE/>
              <w:autoSpaceDN/>
              <w:adjustRightInd/>
              <w:spacing w:after="0"/>
              <w:jc w:val="both"/>
              <w:textAlignment w:val="auto"/>
              <w:rPr>
                <w:rFonts w:hint="eastAsia"/>
                <w:kern w:val="2"/>
                <w:lang w:val="en-US" w:eastAsia="zh-CN"/>
              </w:rPr>
            </w:pPr>
            <w:r>
              <w:rPr>
                <w:kern w:val="2"/>
                <w:lang w:val="en-US" w:eastAsia="zh-CN"/>
              </w:rPr>
              <w:t>A direct radio link between BS on the ground and CPE type of UE mounted in the aircraft</w:t>
            </w:r>
          </w:p>
          <w:p>
            <w:pPr>
              <w:widowControl w:val="0"/>
              <w:numPr>
                <w:ilvl w:val="2"/>
                <w:numId w:val="4"/>
              </w:numPr>
              <w:overflowPunct/>
              <w:autoSpaceDE/>
              <w:autoSpaceDN/>
              <w:adjustRightInd/>
              <w:spacing w:after="0"/>
              <w:jc w:val="both"/>
              <w:textAlignment w:val="auto"/>
              <w:rPr>
                <w:kern w:val="2"/>
                <w:lang w:val="en-US" w:eastAsia="zh-CN"/>
              </w:rPr>
            </w:pPr>
            <w:r>
              <w:rPr>
                <w:kern w:val="2"/>
                <w:lang w:val="en-US" w:eastAsia="zh-CN"/>
              </w:rPr>
              <w:t>Note: The deployment characteristics described in</w:t>
            </w:r>
            <w:r>
              <w:rPr>
                <w:rFonts w:hint="eastAsia"/>
                <w:kern w:val="2"/>
                <w:lang w:val="en-US" w:eastAsia="zh-CN"/>
              </w:rPr>
              <w:t xml:space="preserve"> the</w:t>
            </w:r>
            <w:r>
              <w:rPr>
                <w:kern w:val="2"/>
                <w:lang w:val="en-US" w:eastAsia="zh-CN"/>
              </w:rPr>
              <w:t xml:space="preserve"> justification </w:t>
            </w:r>
            <w:r>
              <w:rPr>
                <w:rFonts w:hint="eastAsia"/>
                <w:kern w:val="2"/>
                <w:lang w:val="en-US" w:eastAsia="zh-CN"/>
              </w:rPr>
              <w:t>section shall be taken as a basis for the technical discussion</w:t>
            </w:r>
            <w:r>
              <w:rPr>
                <w:kern w:val="2"/>
                <w:lang w:val="en-US" w:eastAsia="zh-CN"/>
              </w:rPr>
              <w:t>.</w:t>
            </w:r>
          </w:p>
          <w:p>
            <w:pPr>
              <w:widowControl w:val="0"/>
              <w:numPr>
                <w:ilvl w:val="1"/>
                <w:numId w:val="4"/>
              </w:numPr>
              <w:overflowPunct/>
              <w:autoSpaceDE/>
              <w:autoSpaceDN/>
              <w:adjustRightInd/>
              <w:spacing w:after="0"/>
              <w:jc w:val="both"/>
              <w:textAlignment w:val="auto"/>
              <w:rPr>
                <w:kern w:val="2"/>
                <w:lang w:val="en-US" w:eastAsia="zh-CN"/>
              </w:rPr>
            </w:pPr>
            <w:r>
              <w:rPr>
                <w:kern w:val="2"/>
                <w:lang w:val="en-US" w:eastAsia="zh-CN"/>
              </w:rPr>
              <w:t>Specify core requirements for coexistence between ATG and IMT terrestrial network</w:t>
            </w:r>
          </w:p>
          <w:p>
            <w:pPr>
              <w:widowControl w:val="0"/>
              <w:numPr>
                <w:ilvl w:val="2"/>
                <w:numId w:val="4"/>
              </w:numPr>
              <w:overflowPunct/>
              <w:autoSpaceDE/>
              <w:autoSpaceDN/>
              <w:adjustRightInd/>
              <w:spacing w:after="0"/>
              <w:jc w:val="both"/>
              <w:textAlignment w:val="auto"/>
              <w:rPr>
                <w:kern w:val="2"/>
                <w:lang w:val="en-US" w:eastAsia="zh-CN"/>
              </w:rPr>
            </w:pPr>
            <w:r>
              <w:rPr>
                <w:kern w:val="2"/>
                <w:lang w:val="en-US" w:eastAsia="zh-CN"/>
              </w:rPr>
              <w:t>Example bands include n1, n78 and n79.</w:t>
            </w:r>
          </w:p>
          <w:p>
            <w:pPr>
              <w:widowControl w:val="0"/>
              <w:numPr>
                <w:ilvl w:val="2"/>
                <w:numId w:val="4"/>
              </w:numPr>
              <w:overflowPunct/>
              <w:autoSpaceDE/>
              <w:autoSpaceDN/>
              <w:adjustRightInd/>
              <w:spacing w:after="0"/>
              <w:jc w:val="both"/>
              <w:textAlignment w:val="auto"/>
              <w:rPr>
                <w:kern w:val="2"/>
                <w:lang w:val="en-US" w:eastAsia="zh-CN"/>
              </w:rPr>
            </w:pPr>
            <w:r>
              <w:rPr>
                <w:kern w:val="2"/>
                <w:lang w:val="en-US" w:eastAsia="zh-CN"/>
              </w:rPr>
              <w:t>Perform FR1 co-existence evaluation for ATG network (e.g. ACLR, ACS)</w:t>
            </w:r>
          </w:p>
          <w:p>
            <w:pPr>
              <w:widowControl w:val="0"/>
              <w:numPr>
                <w:ilvl w:val="2"/>
                <w:numId w:val="4"/>
              </w:numPr>
              <w:overflowPunct/>
              <w:autoSpaceDE/>
              <w:autoSpaceDN/>
              <w:adjustRightInd/>
              <w:spacing w:after="0"/>
              <w:jc w:val="both"/>
              <w:textAlignment w:val="auto"/>
              <w:rPr>
                <w:kern w:val="2"/>
                <w:lang w:val="en-US" w:eastAsia="zh-CN"/>
              </w:rPr>
            </w:pPr>
            <w:r>
              <w:rPr>
                <w:kern w:val="2"/>
                <w:lang w:val="en-US" w:eastAsia="zh-CN"/>
              </w:rPr>
              <w:t>Identify key characteristics where it is necessary to differentiate ATG ground-based BS and UEs from conventional ground based BS and UEs</w:t>
            </w:r>
          </w:p>
          <w:p>
            <w:pPr>
              <w:widowControl w:val="0"/>
              <w:numPr>
                <w:ilvl w:val="3"/>
                <w:numId w:val="4"/>
              </w:numPr>
              <w:overflowPunct/>
              <w:autoSpaceDE/>
              <w:autoSpaceDN/>
              <w:adjustRightInd/>
              <w:spacing w:after="0"/>
              <w:jc w:val="both"/>
              <w:textAlignment w:val="auto"/>
              <w:rPr>
                <w:kern w:val="2"/>
                <w:lang w:val="en-US" w:eastAsia="zh-CN"/>
              </w:rPr>
            </w:pPr>
            <w:r>
              <w:rPr>
                <w:kern w:val="2"/>
                <w:lang w:val="en-US" w:eastAsia="zh-CN"/>
              </w:rPr>
              <w:t>Aim to reuse existing requirements for BS and UE where possible, e.g.,</w:t>
            </w:r>
          </w:p>
          <w:p>
            <w:pPr>
              <w:widowControl w:val="0"/>
              <w:numPr>
                <w:ilvl w:val="4"/>
                <w:numId w:val="4"/>
              </w:numPr>
              <w:overflowPunct/>
              <w:autoSpaceDE/>
              <w:autoSpaceDN/>
              <w:adjustRightInd/>
              <w:spacing w:after="0"/>
              <w:jc w:val="both"/>
              <w:textAlignment w:val="auto"/>
              <w:rPr>
                <w:kern w:val="2"/>
                <w:lang w:val="en-US" w:eastAsia="zh-CN"/>
              </w:rPr>
            </w:pPr>
            <w:r>
              <w:rPr>
                <w:kern w:val="2"/>
                <w:lang w:val="en-US" w:eastAsia="zh-CN"/>
              </w:rPr>
              <w:t>Reuse TN BS requirements for ATG BS</w:t>
            </w:r>
          </w:p>
          <w:p>
            <w:pPr>
              <w:widowControl w:val="0"/>
              <w:numPr>
                <w:ilvl w:val="2"/>
                <w:numId w:val="4"/>
              </w:numPr>
              <w:overflowPunct/>
              <w:autoSpaceDE/>
              <w:autoSpaceDN/>
              <w:adjustRightInd/>
              <w:spacing w:after="0"/>
              <w:jc w:val="both"/>
              <w:textAlignment w:val="auto"/>
              <w:rPr>
                <w:kern w:val="2"/>
                <w:lang w:val="en-US" w:eastAsia="zh-CN"/>
              </w:rPr>
            </w:pPr>
            <w:r>
              <w:rPr>
                <w:kern w:val="2"/>
                <w:lang w:val="en-US" w:eastAsia="zh-CN"/>
              </w:rPr>
              <w:t>Specify RF requirements for ATG UE/BS</w:t>
            </w:r>
          </w:p>
          <w:p>
            <w:pPr>
              <w:widowControl w:val="0"/>
              <w:numPr>
                <w:ilvl w:val="3"/>
                <w:numId w:val="4"/>
              </w:numPr>
              <w:overflowPunct/>
              <w:autoSpaceDE/>
              <w:autoSpaceDN/>
              <w:adjustRightInd/>
              <w:spacing w:after="0"/>
              <w:jc w:val="both"/>
              <w:textAlignment w:val="auto"/>
              <w:rPr>
                <w:kern w:val="2"/>
                <w:lang w:val="en-US" w:eastAsia="zh-CN"/>
              </w:rPr>
            </w:pPr>
            <w:r>
              <w:rPr>
                <w:kern w:val="2"/>
                <w:lang w:val="en-US" w:eastAsia="zh-CN"/>
              </w:rPr>
              <w:t>Considering the results of co-existence simulations in terms of impact on emissions and RX requirements, cell sizes and link budgets, technology capabilities, likely BS and UE architectures and other relevant aspects.</w:t>
            </w:r>
          </w:p>
          <w:p>
            <w:pPr>
              <w:widowControl w:val="0"/>
              <w:numPr>
                <w:ilvl w:val="3"/>
                <w:numId w:val="4"/>
              </w:numPr>
              <w:overflowPunct/>
              <w:autoSpaceDE/>
              <w:autoSpaceDN/>
              <w:adjustRightInd/>
              <w:spacing w:after="0"/>
              <w:jc w:val="both"/>
              <w:textAlignment w:val="auto"/>
              <w:rPr>
                <w:kern w:val="2"/>
                <w:lang w:val="en-US" w:eastAsia="zh-CN"/>
              </w:rPr>
            </w:pPr>
            <w:r>
              <w:rPr>
                <w:kern w:val="2"/>
                <w:lang w:val="en-US" w:eastAsia="zh-CN"/>
              </w:rPr>
              <w:t>Taking into account identified differences between ATG and fully ground based systems</w:t>
            </w:r>
          </w:p>
          <w:p>
            <w:pPr>
              <w:widowControl w:val="0"/>
              <w:numPr>
                <w:ilvl w:val="3"/>
                <w:numId w:val="4"/>
              </w:numPr>
              <w:overflowPunct/>
              <w:autoSpaceDE/>
              <w:autoSpaceDN/>
              <w:adjustRightInd/>
              <w:spacing w:after="0"/>
              <w:jc w:val="both"/>
              <w:textAlignment w:val="auto"/>
              <w:rPr>
                <w:kern w:val="2"/>
                <w:lang w:val="en-US" w:eastAsia="zh-CN"/>
              </w:rPr>
            </w:pPr>
            <w:r>
              <w:rPr>
                <w:kern w:val="2"/>
                <w:lang w:val="en-US" w:eastAsia="zh-CN"/>
              </w:rPr>
              <w:t>Consider BS type 1-C/1-H/1-O and specify the requirements</w:t>
            </w:r>
          </w:p>
          <w:p>
            <w:pPr>
              <w:widowControl w:val="0"/>
              <w:numPr>
                <w:ilvl w:val="3"/>
                <w:numId w:val="4"/>
              </w:numPr>
              <w:overflowPunct/>
              <w:autoSpaceDE/>
              <w:autoSpaceDN/>
              <w:adjustRightInd/>
              <w:spacing w:after="0"/>
              <w:jc w:val="both"/>
              <w:textAlignment w:val="auto"/>
              <w:rPr>
                <w:kern w:val="2"/>
                <w:lang w:val="en-US" w:eastAsia="zh-CN"/>
              </w:rPr>
            </w:pPr>
            <w:r>
              <w:rPr>
                <w:kern w:val="2"/>
                <w:lang w:val="en-US" w:eastAsia="zh-CN"/>
              </w:rPr>
              <w:t>Consider conductive requirements for UE</w:t>
            </w:r>
          </w:p>
          <w:p>
            <w:pPr>
              <w:widowControl w:val="0"/>
              <w:numPr>
                <w:ilvl w:val="2"/>
                <w:numId w:val="4"/>
              </w:numPr>
              <w:overflowPunct/>
              <w:autoSpaceDE/>
              <w:autoSpaceDN/>
              <w:adjustRightInd/>
              <w:spacing w:after="0"/>
              <w:jc w:val="both"/>
              <w:textAlignment w:val="auto"/>
              <w:rPr>
                <w:kern w:val="2"/>
                <w:lang w:val="en-US" w:eastAsia="zh-CN"/>
              </w:rPr>
            </w:pPr>
            <w:r>
              <w:rPr>
                <w:kern w:val="2"/>
                <w:lang w:val="en-US" w:eastAsia="zh-CN"/>
              </w:rPr>
              <w:t>Specify RRM core requirements for ATG UE</w:t>
            </w:r>
          </w:p>
          <w:p>
            <w:pPr>
              <w:widowControl w:val="0"/>
              <w:numPr>
                <w:ilvl w:val="3"/>
                <w:numId w:val="4"/>
              </w:numPr>
              <w:overflowPunct/>
              <w:autoSpaceDE/>
              <w:autoSpaceDN/>
              <w:adjustRightInd/>
              <w:spacing w:after="0"/>
              <w:jc w:val="both"/>
              <w:textAlignment w:val="auto"/>
              <w:rPr>
                <w:kern w:val="2"/>
                <w:lang w:val="en-US" w:eastAsia="zh-CN"/>
              </w:rPr>
            </w:pPr>
            <w:r>
              <w:rPr>
                <w:kern w:val="2"/>
                <w:lang w:val="en-US" w:eastAsia="zh-CN"/>
              </w:rPr>
              <w:t>Taking into account identified differences between ATG and fully ground based systems</w:t>
            </w:r>
          </w:p>
          <w:p>
            <w:pPr>
              <w:widowControl w:val="0"/>
              <w:numPr>
                <w:ilvl w:val="3"/>
                <w:numId w:val="4"/>
              </w:numPr>
              <w:overflowPunct/>
              <w:autoSpaceDE/>
              <w:autoSpaceDN/>
              <w:adjustRightInd/>
              <w:spacing w:after="0"/>
              <w:jc w:val="both"/>
              <w:textAlignment w:val="auto"/>
              <w:rPr>
                <w:kern w:val="2"/>
                <w:lang w:val="en-US" w:eastAsia="zh-CN"/>
              </w:rPr>
            </w:pPr>
            <w:r>
              <w:rPr>
                <w:kern w:val="2"/>
                <w:lang w:val="en-US" w:eastAsia="zh-CN"/>
              </w:rPr>
              <w:t>Considering the different nature of ATG UEs and their view of the network, increased cell sizes and</w:t>
            </w:r>
            <w:r>
              <w:rPr>
                <w:rFonts w:hint="eastAsia"/>
                <w:kern w:val="2"/>
                <w:lang w:val="en-US" w:eastAsia="zh-CN"/>
              </w:rPr>
              <w:t xml:space="preserve"> </w:t>
            </w:r>
            <w:r>
              <w:rPr>
                <w:kern w:val="2"/>
                <w:lang w:val="en-US" w:eastAsia="zh-CN"/>
              </w:rPr>
              <w:t>other relevant aspects</w:t>
            </w:r>
          </w:p>
          <w:p>
            <w:pPr>
              <w:widowControl w:val="0"/>
              <w:numPr>
                <w:ilvl w:val="2"/>
                <w:numId w:val="4"/>
              </w:numPr>
              <w:overflowPunct/>
              <w:autoSpaceDE/>
              <w:autoSpaceDN/>
              <w:adjustRightInd/>
              <w:spacing w:after="0"/>
              <w:jc w:val="both"/>
              <w:textAlignment w:val="auto"/>
              <w:rPr>
                <w:rFonts w:hint="default" w:ascii="Times New Roman" w:hAnsi="Times New Roman" w:cs="Times New Roman" w:eastAsiaTheme="minorEastAsia"/>
                <w:b/>
                <w:kern w:val="0"/>
                <w:sz w:val="20"/>
                <w:szCs w:val="24"/>
                <w:u w:val="single"/>
                <w:lang w:val="en-US" w:eastAsia="zh-CN" w:bidi="ar-SA"/>
              </w:rPr>
            </w:pPr>
            <w:r>
              <w:rPr>
                <w:rFonts w:ascii="Times New Roman" w:hAnsi="Times New Roman" w:eastAsia="Times New Roman" w:cs="Times New Roman"/>
                <w:kern w:val="2"/>
                <w:sz w:val="20"/>
                <w:szCs w:val="24"/>
                <w:lang w:val="en-US" w:eastAsia="zh-CN" w:bidi="ar-SA"/>
              </w:rPr>
              <w:t>Specify new UE/BS type(s) for ATG network if necessary</w:t>
            </w:r>
          </w:p>
        </w:tc>
      </w:tr>
    </w:tbl>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In last meeting, RAN4 has spread general discussion on RRM aspects in ATG case. The following agreements were achieved in [2] around general aspects: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9514" w:type="dxa"/>
          </w:tcPr>
          <w:p>
            <w:pPr>
              <w:keepNext w:val="0"/>
              <w:keepLines w:val="0"/>
              <w:pageBreakBefore w:val="0"/>
              <w:kinsoku/>
              <w:wordWrap/>
              <w:overflowPunct/>
              <w:topLinePunct w:val="0"/>
              <w:autoSpaceDE/>
              <w:autoSpaceDN/>
              <w:bidi w:val="0"/>
              <w:adjustRightInd/>
              <w:snapToGrid/>
              <w:textAlignment w:val="auto"/>
              <w:rPr>
                <w:rFonts w:eastAsia="Malgun Gothic"/>
                <w:b/>
                <w:sz w:val="20"/>
                <w:szCs w:val="20"/>
                <w:u w:val="single"/>
                <w:lang w:eastAsia="ko-KR"/>
              </w:rPr>
            </w:pPr>
            <w:bookmarkStart w:id="0" w:name="_Hlk70326378"/>
            <w:r>
              <w:rPr>
                <w:b/>
                <w:sz w:val="20"/>
                <w:szCs w:val="20"/>
                <w:u w:val="single"/>
                <w:lang w:eastAsia="ko-KR"/>
              </w:rPr>
              <w:t>Issue 1-1-1: ISD assumption</w:t>
            </w:r>
          </w:p>
          <w:p>
            <w:pPr>
              <w:keepNext w:val="0"/>
              <w:keepLines w:val="0"/>
              <w:pageBreakBefore w:val="0"/>
              <w:kinsoku/>
              <w:wordWrap/>
              <w:overflowPunct/>
              <w:topLinePunct w:val="0"/>
              <w:autoSpaceDE/>
              <w:autoSpaceDN/>
              <w:bidi w:val="0"/>
              <w:adjustRightInd/>
              <w:snapToGrid/>
              <w:textAlignment w:val="auto"/>
              <w:rPr>
                <w:rFonts w:eastAsiaTheme="minorEastAsia"/>
                <w:iCs/>
                <w:sz w:val="20"/>
                <w:szCs w:val="20"/>
              </w:rPr>
            </w:pPr>
            <w:r>
              <w:rPr>
                <w:rFonts w:eastAsiaTheme="minorEastAsia"/>
                <w:iCs/>
                <w:sz w:val="20"/>
                <w:szCs w:val="20"/>
                <w:highlight w:val="green"/>
              </w:rPr>
              <w:t>Agreements</w:t>
            </w:r>
            <w:r>
              <w:rPr>
                <w:rFonts w:eastAsiaTheme="minorEastAsia"/>
                <w:iCs/>
                <w:sz w:val="20"/>
                <w:szCs w:val="20"/>
              </w:rPr>
              <w:t>:</w:t>
            </w:r>
          </w:p>
          <w:p>
            <w:pPr>
              <w:pStyle w:val="28"/>
              <w:keepNext w:val="0"/>
              <w:keepLines w:val="0"/>
              <w:pageBreakBefore w:val="0"/>
              <w:numPr>
                <w:ilvl w:val="0"/>
                <w:numId w:val="5"/>
              </w:numPr>
              <w:kinsoku/>
              <w:wordWrap/>
              <w:overflowPunct/>
              <w:topLinePunct w:val="0"/>
              <w:autoSpaceDE/>
              <w:autoSpaceDN/>
              <w:bidi w:val="0"/>
              <w:adjustRightInd/>
              <w:snapToGrid/>
              <w:ind w:hanging="357" w:firstLineChars="0"/>
              <w:textAlignment w:val="auto"/>
              <w:rPr>
                <w:rFonts w:eastAsia="宋体" w:cs="Times New Roman"/>
                <w:sz w:val="20"/>
                <w:szCs w:val="20"/>
              </w:rPr>
            </w:pPr>
            <w:r>
              <w:rPr>
                <w:rFonts w:eastAsia="宋体" w:cs="Times New Roman"/>
                <w:sz w:val="20"/>
                <w:szCs w:val="20"/>
              </w:rPr>
              <w:t xml:space="preserve">Investigate the RRM impactions of ISD [14]-200km. </w:t>
            </w:r>
          </w:p>
          <w:p>
            <w:pPr>
              <w:pStyle w:val="28"/>
              <w:keepNext w:val="0"/>
              <w:keepLines w:val="0"/>
              <w:pageBreakBefore w:val="0"/>
              <w:numPr>
                <w:ilvl w:val="1"/>
                <w:numId w:val="5"/>
              </w:numPr>
              <w:kinsoku/>
              <w:wordWrap/>
              <w:overflowPunct/>
              <w:topLinePunct w:val="0"/>
              <w:autoSpaceDE/>
              <w:autoSpaceDN/>
              <w:bidi w:val="0"/>
              <w:adjustRightInd/>
              <w:snapToGrid/>
              <w:ind w:hanging="357" w:firstLineChars="0"/>
              <w:textAlignment w:val="auto"/>
              <w:rPr>
                <w:rFonts w:eastAsia="宋体" w:cs="Times New Roman"/>
                <w:sz w:val="20"/>
                <w:szCs w:val="20"/>
              </w:rPr>
            </w:pPr>
            <w:r>
              <w:rPr>
                <w:rFonts w:eastAsia="宋体" w:cs="Times New Roman"/>
                <w:sz w:val="20"/>
                <w:szCs w:val="20"/>
              </w:rPr>
              <w:t xml:space="preserve">Further capture the conclusion on square bracket which will come from RF session. </w:t>
            </w:r>
          </w:p>
          <w:p>
            <w:pPr>
              <w:keepNext w:val="0"/>
              <w:keepLines w:val="0"/>
              <w:pageBreakBefore w:val="0"/>
              <w:kinsoku/>
              <w:wordWrap/>
              <w:overflowPunct/>
              <w:topLinePunct w:val="0"/>
              <w:autoSpaceDE/>
              <w:autoSpaceDN/>
              <w:bidi w:val="0"/>
              <w:adjustRightInd/>
              <w:snapToGrid/>
              <w:textAlignment w:val="auto"/>
              <w:rPr>
                <w:b/>
                <w:sz w:val="20"/>
                <w:szCs w:val="20"/>
                <w:u w:val="single"/>
                <w:lang w:eastAsia="ko-KR"/>
              </w:rPr>
            </w:pPr>
            <w:r>
              <w:rPr>
                <w:b/>
                <w:sz w:val="20"/>
                <w:szCs w:val="20"/>
                <w:u w:val="single"/>
                <w:lang w:eastAsia="ko-KR"/>
              </w:rPr>
              <w:t>Issue 1-1-2: Maximum distance between ATG BS and Aircraft UE</w:t>
            </w:r>
          </w:p>
          <w:p>
            <w:pPr>
              <w:keepNext w:val="0"/>
              <w:keepLines w:val="0"/>
              <w:pageBreakBefore w:val="0"/>
              <w:kinsoku/>
              <w:wordWrap/>
              <w:overflowPunct/>
              <w:topLinePunct w:val="0"/>
              <w:autoSpaceDE/>
              <w:autoSpaceDN/>
              <w:bidi w:val="0"/>
              <w:adjustRightInd/>
              <w:snapToGrid/>
              <w:textAlignment w:val="auto"/>
              <w:rPr>
                <w:rFonts w:eastAsiaTheme="minorEastAsia"/>
                <w:iCs/>
                <w:sz w:val="20"/>
                <w:szCs w:val="20"/>
              </w:rPr>
            </w:pPr>
            <w:r>
              <w:rPr>
                <w:rFonts w:eastAsiaTheme="minorEastAsia"/>
                <w:iCs/>
                <w:sz w:val="20"/>
                <w:szCs w:val="20"/>
                <w:highlight w:val="green"/>
              </w:rPr>
              <w:t>Agreements</w:t>
            </w:r>
          </w:p>
          <w:p>
            <w:pPr>
              <w:pStyle w:val="28"/>
              <w:keepNext w:val="0"/>
              <w:keepLines w:val="0"/>
              <w:pageBreakBefore w:val="0"/>
              <w:numPr>
                <w:ilvl w:val="0"/>
                <w:numId w:val="5"/>
              </w:numPr>
              <w:kinsoku/>
              <w:wordWrap/>
              <w:overflowPunct/>
              <w:topLinePunct w:val="0"/>
              <w:autoSpaceDE/>
              <w:autoSpaceDN/>
              <w:bidi w:val="0"/>
              <w:adjustRightInd/>
              <w:snapToGrid/>
              <w:ind w:hanging="357" w:firstLineChars="0"/>
              <w:textAlignment w:val="auto"/>
              <w:rPr>
                <w:rFonts w:eastAsia="宋体" w:cs="Times New Roman"/>
                <w:sz w:val="20"/>
                <w:szCs w:val="20"/>
              </w:rPr>
            </w:pPr>
            <w:r>
              <w:rPr>
                <w:rFonts w:eastAsia="宋体" w:cs="Times New Roman"/>
                <w:sz w:val="20"/>
                <w:szCs w:val="20"/>
              </w:rPr>
              <w:t xml:space="preserve">Maximum distance between ATG BS and Aircraft UE for further RRM analysis is ≥ [200] km. </w:t>
            </w:r>
          </w:p>
          <w:p>
            <w:pPr>
              <w:pStyle w:val="28"/>
              <w:keepNext w:val="0"/>
              <w:keepLines w:val="0"/>
              <w:pageBreakBefore w:val="0"/>
              <w:numPr>
                <w:ilvl w:val="1"/>
                <w:numId w:val="5"/>
              </w:numPr>
              <w:kinsoku/>
              <w:wordWrap/>
              <w:overflowPunct/>
              <w:topLinePunct w:val="0"/>
              <w:autoSpaceDE/>
              <w:autoSpaceDN/>
              <w:bidi w:val="0"/>
              <w:adjustRightInd/>
              <w:snapToGrid/>
              <w:ind w:hanging="357" w:firstLineChars="0"/>
              <w:textAlignment w:val="auto"/>
              <w:rPr>
                <w:rFonts w:eastAsia="宋体" w:cs="Times New Roman"/>
                <w:sz w:val="20"/>
                <w:szCs w:val="20"/>
              </w:rPr>
            </w:pPr>
            <w:r>
              <w:rPr>
                <w:rFonts w:eastAsia="宋体" w:cs="Times New Roman"/>
                <w:sz w:val="20"/>
                <w:szCs w:val="20"/>
              </w:rPr>
              <w:t>Upper bound is FFS.</w:t>
            </w:r>
          </w:p>
          <w:p>
            <w:pPr>
              <w:keepNext w:val="0"/>
              <w:keepLines w:val="0"/>
              <w:pageBreakBefore w:val="0"/>
              <w:kinsoku/>
              <w:wordWrap/>
              <w:overflowPunct/>
              <w:topLinePunct w:val="0"/>
              <w:autoSpaceDE/>
              <w:autoSpaceDN/>
              <w:bidi w:val="0"/>
              <w:adjustRightInd/>
              <w:snapToGrid/>
              <w:textAlignment w:val="auto"/>
              <w:rPr>
                <w:b/>
                <w:sz w:val="20"/>
                <w:szCs w:val="20"/>
                <w:u w:val="single"/>
                <w:lang w:eastAsia="ko-KR"/>
              </w:rPr>
            </w:pPr>
            <w:r>
              <w:rPr>
                <w:b/>
                <w:sz w:val="20"/>
                <w:szCs w:val="20"/>
                <w:u w:val="single"/>
                <w:lang w:eastAsia="ko-KR"/>
              </w:rPr>
              <w:t>Issue 1-1-3: Duplex mode and SCS</w:t>
            </w:r>
          </w:p>
          <w:p>
            <w:pPr>
              <w:pStyle w:val="28"/>
              <w:keepNext w:val="0"/>
              <w:keepLines w:val="0"/>
              <w:pageBreakBefore w:val="0"/>
              <w:numPr>
                <w:ilvl w:val="0"/>
                <w:numId w:val="5"/>
              </w:numPr>
              <w:kinsoku/>
              <w:wordWrap/>
              <w:overflowPunct/>
              <w:topLinePunct w:val="0"/>
              <w:autoSpaceDE/>
              <w:autoSpaceDN/>
              <w:bidi w:val="0"/>
              <w:adjustRightInd/>
              <w:snapToGrid/>
              <w:ind w:hanging="357" w:firstLineChars="0"/>
              <w:textAlignment w:val="auto"/>
              <w:rPr>
                <w:rFonts w:eastAsia="宋体" w:cs="Times New Roman"/>
                <w:sz w:val="20"/>
                <w:szCs w:val="20"/>
              </w:rPr>
            </w:pPr>
            <w:r>
              <w:rPr>
                <w:rFonts w:eastAsia="宋体" w:cs="Times New Roman"/>
                <w:sz w:val="20"/>
                <w:szCs w:val="20"/>
              </w:rPr>
              <w:t>For the test cases, further specify the combination of duplex mode and SCS at perf stage.</w:t>
            </w:r>
          </w:p>
          <w:p>
            <w:pPr>
              <w:pStyle w:val="28"/>
              <w:keepNext w:val="0"/>
              <w:keepLines w:val="0"/>
              <w:pageBreakBefore w:val="0"/>
              <w:numPr>
                <w:ilvl w:val="0"/>
                <w:numId w:val="5"/>
              </w:numPr>
              <w:kinsoku/>
              <w:wordWrap/>
              <w:overflowPunct/>
              <w:topLinePunct w:val="0"/>
              <w:autoSpaceDE/>
              <w:autoSpaceDN/>
              <w:bidi w:val="0"/>
              <w:adjustRightInd/>
              <w:snapToGrid/>
              <w:ind w:hanging="357" w:firstLineChars="0"/>
              <w:textAlignment w:val="auto"/>
              <w:rPr>
                <w:rFonts w:eastAsia="宋体" w:cs="Times New Roman"/>
                <w:sz w:val="20"/>
                <w:szCs w:val="20"/>
              </w:rPr>
            </w:pPr>
            <w:r>
              <w:rPr>
                <w:rFonts w:eastAsia="宋体" w:cs="Times New Roman"/>
                <w:sz w:val="20"/>
                <w:szCs w:val="20"/>
              </w:rPr>
              <w:t>For the core requirements, discuss following Options:</w:t>
            </w:r>
          </w:p>
          <w:p>
            <w:pPr>
              <w:pStyle w:val="28"/>
              <w:keepNext w:val="0"/>
              <w:keepLines w:val="0"/>
              <w:pageBreakBefore w:val="0"/>
              <w:numPr>
                <w:ilvl w:val="1"/>
                <w:numId w:val="5"/>
              </w:numPr>
              <w:kinsoku/>
              <w:wordWrap/>
              <w:overflowPunct/>
              <w:topLinePunct w:val="0"/>
              <w:autoSpaceDE/>
              <w:autoSpaceDN/>
              <w:bidi w:val="0"/>
              <w:adjustRightInd/>
              <w:snapToGrid/>
              <w:ind w:hanging="357" w:firstLineChars="0"/>
              <w:textAlignment w:val="auto"/>
              <w:rPr>
                <w:rFonts w:eastAsia="宋体" w:cs="Times New Roman"/>
                <w:sz w:val="20"/>
                <w:szCs w:val="20"/>
              </w:rPr>
            </w:pPr>
            <w:r>
              <w:rPr>
                <w:rFonts w:eastAsia="宋体" w:cs="Times New Roman"/>
                <w:sz w:val="20"/>
                <w:szCs w:val="20"/>
              </w:rPr>
              <w:t>Option 1: For duplex mode/SCS configurations, no impacts on core requirements (HW, CATT)</w:t>
            </w:r>
          </w:p>
          <w:p>
            <w:pPr>
              <w:pStyle w:val="28"/>
              <w:keepNext w:val="0"/>
              <w:keepLines w:val="0"/>
              <w:pageBreakBefore w:val="0"/>
              <w:numPr>
                <w:ilvl w:val="1"/>
                <w:numId w:val="5"/>
              </w:numPr>
              <w:kinsoku/>
              <w:wordWrap/>
              <w:overflowPunct/>
              <w:topLinePunct w:val="0"/>
              <w:autoSpaceDE/>
              <w:autoSpaceDN/>
              <w:bidi w:val="0"/>
              <w:adjustRightInd/>
              <w:snapToGrid/>
              <w:ind w:hanging="357" w:firstLineChars="0"/>
              <w:textAlignment w:val="auto"/>
              <w:rPr>
                <w:rFonts w:eastAsia="宋体" w:cs="Times New Roman"/>
                <w:sz w:val="20"/>
                <w:szCs w:val="20"/>
              </w:rPr>
            </w:pPr>
            <w:r>
              <w:rPr>
                <w:rFonts w:eastAsia="宋体" w:cs="Times New Roman"/>
                <w:sz w:val="20"/>
                <w:szCs w:val="20"/>
              </w:rPr>
              <w:t>Option 2: Consider all the combinations between FDD/TDD and 15kHz/30kHz (CMCC, ZTE)</w:t>
            </w:r>
          </w:p>
          <w:p>
            <w:pPr>
              <w:pStyle w:val="28"/>
              <w:keepNext w:val="0"/>
              <w:keepLines w:val="0"/>
              <w:pageBreakBefore w:val="0"/>
              <w:numPr>
                <w:ilvl w:val="1"/>
                <w:numId w:val="5"/>
              </w:numPr>
              <w:kinsoku/>
              <w:wordWrap/>
              <w:overflowPunct/>
              <w:topLinePunct w:val="0"/>
              <w:autoSpaceDE/>
              <w:autoSpaceDN/>
              <w:bidi w:val="0"/>
              <w:adjustRightInd/>
              <w:snapToGrid/>
              <w:ind w:hanging="357" w:firstLineChars="0"/>
              <w:textAlignment w:val="auto"/>
              <w:rPr>
                <w:rFonts w:eastAsia="宋体" w:cs="Times New Roman"/>
                <w:sz w:val="20"/>
                <w:szCs w:val="20"/>
              </w:rPr>
            </w:pPr>
            <w:r>
              <w:rPr>
                <w:rFonts w:eastAsia="宋体" w:cs="Times New Roman"/>
                <w:sz w:val="20"/>
                <w:szCs w:val="20"/>
              </w:rPr>
              <w:t xml:space="preserve">Option 3: Determine either of the following options, </w:t>
            </w:r>
          </w:p>
          <w:p>
            <w:pPr>
              <w:pStyle w:val="28"/>
              <w:keepNext w:val="0"/>
              <w:keepLines w:val="0"/>
              <w:pageBreakBefore w:val="0"/>
              <w:numPr>
                <w:ilvl w:val="2"/>
                <w:numId w:val="5"/>
              </w:numPr>
              <w:kinsoku/>
              <w:wordWrap/>
              <w:overflowPunct/>
              <w:topLinePunct w:val="0"/>
              <w:autoSpaceDE/>
              <w:autoSpaceDN/>
              <w:bidi w:val="0"/>
              <w:adjustRightInd/>
              <w:snapToGrid/>
              <w:ind w:firstLineChars="0"/>
              <w:textAlignment w:val="auto"/>
              <w:rPr>
                <w:rFonts w:eastAsia="宋体" w:cs="Times New Roman"/>
                <w:sz w:val="20"/>
                <w:szCs w:val="20"/>
              </w:rPr>
            </w:pPr>
            <w:r>
              <w:rPr>
                <w:rFonts w:eastAsia="宋体" w:cs="Times New Roman"/>
                <w:sz w:val="20"/>
                <w:szCs w:val="20"/>
              </w:rPr>
              <w:t>Option 3-1: Only consider 15kHz SCS for FDD 2GHz and 30kHz for TDD for requirement development. (Apple)</w:t>
            </w:r>
          </w:p>
          <w:p>
            <w:pPr>
              <w:pStyle w:val="28"/>
              <w:keepNext w:val="0"/>
              <w:keepLines w:val="0"/>
              <w:pageBreakBefore w:val="0"/>
              <w:numPr>
                <w:ilvl w:val="2"/>
                <w:numId w:val="5"/>
              </w:numPr>
              <w:kinsoku/>
              <w:wordWrap/>
              <w:overflowPunct/>
              <w:topLinePunct w:val="0"/>
              <w:autoSpaceDE/>
              <w:autoSpaceDN/>
              <w:bidi w:val="0"/>
              <w:adjustRightInd/>
              <w:snapToGrid/>
              <w:ind w:firstLineChars="0"/>
              <w:textAlignment w:val="auto"/>
              <w:rPr>
                <w:rFonts w:eastAsia="宋体" w:cs="Times New Roman"/>
                <w:sz w:val="20"/>
                <w:szCs w:val="20"/>
              </w:rPr>
            </w:pPr>
            <w:r>
              <w:rPr>
                <w:rFonts w:eastAsia="宋体" w:cs="Times New Roman"/>
                <w:sz w:val="20"/>
                <w:szCs w:val="20"/>
              </w:rPr>
              <w:t>Option 3-2: Consider all the SCS’s of 15kHz, 30kHz and 60kHz for FDD and TDD (Apple)</w:t>
            </w:r>
          </w:p>
          <w:p>
            <w:pPr>
              <w:pStyle w:val="28"/>
              <w:keepNext w:val="0"/>
              <w:keepLines w:val="0"/>
              <w:pageBreakBefore w:val="0"/>
              <w:numPr>
                <w:ilvl w:val="1"/>
                <w:numId w:val="5"/>
              </w:numPr>
              <w:kinsoku/>
              <w:wordWrap/>
              <w:overflowPunct/>
              <w:topLinePunct w:val="0"/>
              <w:autoSpaceDE/>
              <w:autoSpaceDN/>
              <w:bidi w:val="0"/>
              <w:adjustRightInd/>
              <w:snapToGrid/>
              <w:ind w:hanging="357" w:firstLineChars="0"/>
              <w:textAlignment w:val="auto"/>
              <w:rPr>
                <w:rFonts w:eastAsia="宋体" w:cs="Times New Roman"/>
                <w:sz w:val="20"/>
                <w:szCs w:val="20"/>
              </w:rPr>
            </w:pPr>
            <w:r>
              <w:rPr>
                <w:rFonts w:hint="eastAsia" w:eastAsia="宋体" w:cs="Times New Roman"/>
                <w:sz w:val="20"/>
                <w:szCs w:val="20"/>
              </w:rPr>
              <w:t>O</w:t>
            </w:r>
            <w:r>
              <w:rPr>
                <w:rFonts w:eastAsia="宋体" w:cs="Times New Roman"/>
                <w:sz w:val="20"/>
                <w:szCs w:val="20"/>
              </w:rPr>
              <w:t>ption 4: Consider 30kHz SCS as baseline assumption to analyses the impact of propagation delay difference in TDD (LGE)</w:t>
            </w:r>
          </w:p>
          <w:p>
            <w:pPr>
              <w:pStyle w:val="28"/>
              <w:keepNext w:val="0"/>
              <w:keepLines w:val="0"/>
              <w:pageBreakBefore w:val="0"/>
              <w:numPr>
                <w:ilvl w:val="1"/>
                <w:numId w:val="5"/>
              </w:numPr>
              <w:kinsoku/>
              <w:wordWrap/>
              <w:overflowPunct/>
              <w:topLinePunct w:val="0"/>
              <w:autoSpaceDE/>
              <w:autoSpaceDN/>
              <w:bidi w:val="0"/>
              <w:adjustRightInd/>
              <w:snapToGrid/>
              <w:ind w:hanging="357" w:firstLineChars="0"/>
              <w:textAlignment w:val="auto"/>
              <w:rPr>
                <w:rFonts w:eastAsia="宋体" w:cs="Times New Roman"/>
                <w:sz w:val="20"/>
                <w:szCs w:val="20"/>
              </w:rPr>
            </w:pPr>
            <w:r>
              <w:rPr>
                <w:rFonts w:eastAsia="宋体" w:cs="Times New Roman"/>
                <w:sz w:val="20"/>
                <w:szCs w:val="20"/>
              </w:rPr>
              <w:t>Option 5: SCS type to be supported for ATG is discussed as part of the timing requirements. (Ericsson)</w:t>
            </w:r>
          </w:p>
          <w:p>
            <w:pPr>
              <w:keepNext w:val="0"/>
              <w:keepLines w:val="0"/>
              <w:pageBreakBefore w:val="0"/>
              <w:kinsoku/>
              <w:wordWrap/>
              <w:overflowPunct/>
              <w:topLinePunct w:val="0"/>
              <w:autoSpaceDE/>
              <w:autoSpaceDN/>
              <w:bidi w:val="0"/>
              <w:adjustRightInd/>
              <w:snapToGrid/>
              <w:textAlignment w:val="auto"/>
              <w:rPr>
                <w:rFonts w:eastAsiaTheme="minorEastAsia"/>
                <w:iCs/>
                <w:sz w:val="20"/>
                <w:szCs w:val="20"/>
              </w:rPr>
            </w:pPr>
            <w:r>
              <w:rPr>
                <w:rFonts w:eastAsiaTheme="minorEastAsia"/>
                <w:iCs/>
                <w:sz w:val="20"/>
                <w:szCs w:val="20"/>
                <w:highlight w:val="green"/>
              </w:rPr>
              <w:t>Agreements</w:t>
            </w:r>
            <w:r>
              <w:rPr>
                <w:rFonts w:eastAsiaTheme="minorEastAsia"/>
                <w:iCs/>
                <w:sz w:val="20"/>
                <w:szCs w:val="20"/>
              </w:rPr>
              <w:t>:</w:t>
            </w:r>
          </w:p>
          <w:p>
            <w:pPr>
              <w:pStyle w:val="28"/>
              <w:keepNext w:val="0"/>
              <w:keepLines w:val="0"/>
              <w:pageBreakBefore w:val="0"/>
              <w:numPr>
                <w:ilvl w:val="0"/>
                <w:numId w:val="5"/>
              </w:numPr>
              <w:kinsoku/>
              <w:wordWrap/>
              <w:overflowPunct/>
              <w:topLinePunct w:val="0"/>
              <w:autoSpaceDE/>
              <w:autoSpaceDN/>
              <w:bidi w:val="0"/>
              <w:adjustRightInd/>
              <w:snapToGrid/>
              <w:ind w:hanging="357" w:firstLineChars="0"/>
              <w:textAlignment w:val="auto"/>
              <w:rPr>
                <w:rFonts w:eastAsia="宋体" w:cs="Times New Roman"/>
                <w:sz w:val="20"/>
                <w:szCs w:val="20"/>
              </w:rPr>
            </w:pPr>
            <w:r>
              <w:rPr>
                <w:rFonts w:eastAsia="宋体" w:cs="Times New Roman"/>
                <w:sz w:val="20"/>
                <w:szCs w:val="20"/>
              </w:rPr>
              <w:t>For the test cases, further specify the combination of duplex mode and SCS at perf stage.</w:t>
            </w:r>
          </w:p>
          <w:p>
            <w:pPr>
              <w:pStyle w:val="28"/>
              <w:keepNext w:val="0"/>
              <w:keepLines w:val="0"/>
              <w:pageBreakBefore w:val="0"/>
              <w:numPr>
                <w:ilvl w:val="0"/>
                <w:numId w:val="5"/>
              </w:numPr>
              <w:kinsoku/>
              <w:wordWrap/>
              <w:overflowPunct/>
              <w:topLinePunct w:val="0"/>
              <w:autoSpaceDE/>
              <w:autoSpaceDN/>
              <w:bidi w:val="0"/>
              <w:adjustRightInd/>
              <w:snapToGrid/>
              <w:ind w:hanging="357" w:firstLineChars="0"/>
              <w:textAlignment w:val="auto"/>
              <w:rPr>
                <w:rFonts w:eastAsia="宋体" w:cs="Times New Roman"/>
                <w:sz w:val="20"/>
                <w:szCs w:val="20"/>
              </w:rPr>
            </w:pPr>
            <w:r>
              <w:rPr>
                <w:rFonts w:eastAsia="宋体" w:cs="Times New Roman"/>
                <w:sz w:val="20"/>
                <w:szCs w:val="20"/>
              </w:rPr>
              <w:t>For the core requirements,</w:t>
            </w:r>
            <w:r>
              <w:rPr>
                <w:rFonts w:hint="eastAsia" w:eastAsia="宋体" w:cs="Times New Roman"/>
                <w:sz w:val="20"/>
                <w:szCs w:val="20"/>
              </w:rPr>
              <w:t xml:space="preserve"> c</w:t>
            </w:r>
            <w:r>
              <w:rPr>
                <w:rFonts w:eastAsia="宋体" w:cs="Times New Roman"/>
                <w:sz w:val="20"/>
                <w:szCs w:val="20"/>
              </w:rPr>
              <w:t>onsider all the SCS’s of 15kHz, 30kHz [and 60kHz] for FDD and TDD</w:t>
            </w:r>
          </w:p>
          <w:p>
            <w:pPr>
              <w:keepNext w:val="0"/>
              <w:keepLines w:val="0"/>
              <w:pageBreakBefore w:val="0"/>
              <w:kinsoku/>
              <w:wordWrap/>
              <w:overflowPunct/>
              <w:topLinePunct w:val="0"/>
              <w:autoSpaceDE/>
              <w:autoSpaceDN/>
              <w:bidi w:val="0"/>
              <w:adjustRightInd/>
              <w:snapToGrid/>
              <w:textAlignment w:val="auto"/>
              <w:rPr>
                <w:b/>
                <w:sz w:val="20"/>
                <w:szCs w:val="20"/>
                <w:u w:val="single"/>
                <w:lang w:eastAsia="ko-KR"/>
              </w:rPr>
            </w:pPr>
            <w:r>
              <w:rPr>
                <w:b/>
                <w:sz w:val="20"/>
                <w:szCs w:val="20"/>
                <w:u w:val="single"/>
                <w:lang w:eastAsia="ko-KR"/>
              </w:rPr>
              <w:t>Issue 1-1-4: TDD pattern</w:t>
            </w:r>
          </w:p>
          <w:p>
            <w:pPr>
              <w:keepNext w:val="0"/>
              <w:keepLines w:val="0"/>
              <w:pageBreakBefore w:val="0"/>
              <w:kinsoku/>
              <w:wordWrap/>
              <w:overflowPunct/>
              <w:topLinePunct w:val="0"/>
              <w:autoSpaceDE/>
              <w:autoSpaceDN/>
              <w:bidi w:val="0"/>
              <w:adjustRightInd/>
              <w:snapToGrid/>
              <w:textAlignment w:val="auto"/>
              <w:rPr>
                <w:rFonts w:eastAsiaTheme="minorEastAsia"/>
                <w:iCs/>
                <w:sz w:val="20"/>
                <w:szCs w:val="20"/>
              </w:rPr>
            </w:pPr>
            <w:r>
              <w:rPr>
                <w:rFonts w:hint="eastAsia" w:eastAsiaTheme="minorEastAsia"/>
                <w:iCs/>
                <w:sz w:val="20"/>
                <w:szCs w:val="20"/>
                <w:highlight w:val="green"/>
              </w:rPr>
              <w:t>A</w:t>
            </w:r>
            <w:r>
              <w:rPr>
                <w:rFonts w:eastAsiaTheme="minorEastAsia"/>
                <w:iCs/>
                <w:sz w:val="20"/>
                <w:szCs w:val="20"/>
                <w:highlight w:val="green"/>
              </w:rPr>
              <w:t>greements</w:t>
            </w:r>
            <w:r>
              <w:rPr>
                <w:rFonts w:eastAsiaTheme="minorEastAsia"/>
                <w:iCs/>
                <w:sz w:val="20"/>
                <w:szCs w:val="20"/>
              </w:rPr>
              <w:t>:</w:t>
            </w:r>
          </w:p>
          <w:p>
            <w:pPr>
              <w:pStyle w:val="28"/>
              <w:keepNext w:val="0"/>
              <w:keepLines w:val="0"/>
              <w:pageBreakBefore w:val="0"/>
              <w:numPr>
                <w:ilvl w:val="0"/>
                <w:numId w:val="5"/>
              </w:numPr>
              <w:kinsoku/>
              <w:wordWrap/>
              <w:overflowPunct/>
              <w:topLinePunct w:val="0"/>
              <w:autoSpaceDE/>
              <w:autoSpaceDN/>
              <w:bidi w:val="0"/>
              <w:adjustRightInd/>
              <w:snapToGrid/>
              <w:ind w:hanging="357" w:firstLineChars="0"/>
              <w:textAlignment w:val="auto"/>
              <w:rPr>
                <w:rFonts w:eastAsia="宋体" w:cs="Times New Roman"/>
                <w:sz w:val="20"/>
                <w:szCs w:val="20"/>
              </w:rPr>
            </w:pPr>
            <w:r>
              <w:rPr>
                <w:rFonts w:eastAsia="宋体" w:cs="Times New Roman"/>
                <w:sz w:val="20"/>
                <w:szCs w:val="20"/>
              </w:rPr>
              <w:t>The TDD pattern is up to NW configuration. No impaction on core requirements is observed, and it can be further discussed in the stage of performance.</w:t>
            </w:r>
          </w:p>
          <w:p>
            <w:pPr>
              <w:keepNext w:val="0"/>
              <w:keepLines w:val="0"/>
              <w:pageBreakBefore w:val="0"/>
              <w:kinsoku/>
              <w:wordWrap/>
              <w:overflowPunct/>
              <w:topLinePunct w:val="0"/>
              <w:autoSpaceDE/>
              <w:autoSpaceDN/>
              <w:bidi w:val="0"/>
              <w:adjustRightInd/>
              <w:snapToGrid/>
              <w:textAlignment w:val="auto"/>
              <w:rPr>
                <w:b/>
                <w:sz w:val="20"/>
                <w:szCs w:val="20"/>
                <w:u w:val="single"/>
                <w:lang w:eastAsia="ko-KR"/>
              </w:rPr>
            </w:pPr>
            <w:r>
              <w:rPr>
                <w:b/>
                <w:sz w:val="20"/>
                <w:szCs w:val="20"/>
                <w:u w:val="single"/>
                <w:lang w:eastAsia="ko-KR"/>
              </w:rPr>
              <w:t>Issue 1-1-5: whether new UAI reporting method could be introduced</w:t>
            </w:r>
          </w:p>
          <w:p>
            <w:pPr>
              <w:pStyle w:val="28"/>
              <w:keepNext w:val="0"/>
              <w:keepLines w:val="0"/>
              <w:pageBreakBefore w:val="0"/>
              <w:numPr>
                <w:ilvl w:val="0"/>
                <w:numId w:val="5"/>
              </w:numPr>
              <w:kinsoku/>
              <w:wordWrap/>
              <w:overflowPunct/>
              <w:topLinePunct w:val="0"/>
              <w:autoSpaceDE/>
              <w:autoSpaceDN/>
              <w:bidi w:val="0"/>
              <w:adjustRightInd/>
              <w:snapToGrid/>
              <w:ind w:hanging="357" w:firstLineChars="0"/>
              <w:textAlignment w:val="auto"/>
              <w:rPr>
                <w:rFonts w:eastAsia="宋体" w:cs="Times New Roman"/>
                <w:sz w:val="20"/>
                <w:szCs w:val="20"/>
              </w:rPr>
            </w:pPr>
            <w:r>
              <w:rPr>
                <w:rFonts w:eastAsia="宋体" w:cs="Times New Roman"/>
                <w:sz w:val="20"/>
                <w:szCs w:val="20"/>
              </w:rPr>
              <w:t>Option 1: ATG WI should avoid to introduce new UAI reporting method. (CATT, CMCC, ZTE (no obvious motivation and feasibility guarantee to introduce the above UAI report))</w:t>
            </w:r>
          </w:p>
          <w:p>
            <w:pPr>
              <w:pStyle w:val="28"/>
              <w:keepNext w:val="0"/>
              <w:keepLines w:val="0"/>
              <w:pageBreakBefore w:val="0"/>
              <w:numPr>
                <w:ilvl w:val="0"/>
                <w:numId w:val="5"/>
              </w:numPr>
              <w:kinsoku/>
              <w:wordWrap/>
              <w:overflowPunct/>
              <w:topLinePunct w:val="0"/>
              <w:autoSpaceDE/>
              <w:autoSpaceDN/>
              <w:bidi w:val="0"/>
              <w:adjustRightInd/>
              <w:snapToGrid/>
              <w:ind w:hanging="357" w:firstLineChars="0"/>
              <w:textAlignment w:val="auto"/>
              <w:rPr>
                <w:rFonts w:eastAsia="宋体" w:cs="Times New Roman"/>
                <w:sz w:val="20"/>
                <w:szCs w:val="20"/>
              </w:rPr>
            </w:pPr>
            <w:r>
              <w:rPr>
                <w:rFonts w:eastAsia="宋体" w:cs="Times New Roman"/>
                <w:sz w:val="20"/>
                <w:szCs w:val="20"/>
              </w:rPr>
              <w:t>Option 2: There is no need to preclude new UAI and its reporting methods at this stage. Postpone the decision on assistance information (both UE-based and network-based) until the RRM requirement framework is clear. (LGE, Apple, Ericsson)</w:t>
            </w:r>
          </w:p>
          <w:p>
            <w:pPr>
              <w:pStyle w:val="28"/>
              <w:keepNext w:val="0"/>
              <w:keepLines w:val="0"/>
              <w:pageBreakBefore w:val="0"/>
              <w:numPr>
                <w:ilvl w:val="1"/>
                <w:numId w:val="5"/>
              </w:numPr>
              <w:kinsoku/>
              <w:wordWrap/>
              <w:overflowPunct/>
              <w:topLinePunct w:val="0"/>
              <w:autoSpaceDE/>
              <w:autoSpaceDN/>
              <w:bidi w:val="0"/>
              <w:adjustRightInd/>
              <w:snapToGrid/>
              <w:ind w:firstLineChars="0"/>
              <w:textAlignment w:val="auto"/>
              <w:rPr>
                <w:rFonts w:eastAsia="宋体" w:cs="Times New Roman"/>
                <w:sz w:val="20"/>
                <w:szCs w:val="20"/>
              </w:rPr>
            </w:pPr>
            <w:r>
              <w:rPr>
                <w:rFonts w:eastAsia="宋体" w:cs="Times New Roman"/>
                <w:sz w:val="20"/>
                <w:szCs w:val="20"/>
              </w:rPr>
              <w:t>Option 2a: Assistance information related to unpredictable changes in flight operation mode are introduced: 1) UE detecting and informing the NW, 2) NW informing the UE (Ericsson)</w:t>
            </w:r>
          </w:p>
          <w:p>
            <w:pPr>
              <w:pStyle w:val="28"/>
              <w:keepNext w:val="0"/>
              <w:keepLines w:val="0"/>
              <w:pageBreakBefore w:val="0"/>
              <w:numPr>
                <w:ilvl w:val="0"/>
                <w:numId w:val="5"/>
              </w:numPr>
              <w:kinsoku/>
              <w:wordWrap/>
              <w:overflowPunct/>
              <w:topLinePunct w:val="0"/>
              <w:autoSpaceDE/>
              <w:autoSpaceDN/>
              <w:bidi w:val="0"/>
              <w:adjustRightInd/>
              <w:snapToGrid/>
              <w:ind w:hanging="357" w:firstLineChars="0"/>
              <w:textAlignment w:val="auto"/>
              <w:rPr>
                <w:rFonts w:eastAsia="宋体" w:cs="Times New Roman"/>
                <w:sz w:val="20"/>
                <w:szCs w:val="20"/>
              </w:rPr>
            </w:pPr>
            <w:r>
              <w:rPr>
                <w:rFonts w:eastAsia="宋体" w:cs="Times New Roman"/>
                <w:sz w:val="20"/>
                <w:szCs w:val="20"/>
              </w:rPr>
              <w:t>Option 3: Whether to introduce new UE assistant information will require RAN1/RAN2 work, which shall not be decided in WG. (HW)</w:t>
            </w:r>
          </w:p>
          <w:p>
            <w:pPr>
              <w:keepNext w:val="0"/>
              <w:keepLines w:val="0"/>
              <w:pageBreakBefore w:val="0"/>
              <w:kinsoku/>
              <w:wordWrap/>
              <w:overflowPunct/>
              <w:topLinePunct w:val="0"/>
              <w:autoSpaceDE/>
              <w:autoSpaceDN/>
              <w:bidi w:val="0"/>
              <w:adjustRightInd/>
              <w:snapToGrid/>
              <w:textAlignment w:val="auto"/>
              <w:rPr>
                <w:b/>
                <w:sz w:val="20"/>
                <w:szCs w:val="20"/>
                <w:u w:val="single"/>
                <w:lang w:eastAsia="ko-KR"/>
              </w:rPr>
            </w:pPr>
            <w:r>
              <w:rPr>
                <w:b/>
                <w:sz w:val="20"/>
                <w:szCs w:val="20"/>
                <w:u w:val="single"/>
                <w:lang w:eastAsia="ko-KR"/>
              </w:rPr>
              <w:t>Issue 1-1-6: Band table</w:t>
            </w:r>
          </w:p>
          <w:p>
            <w:pPr>
              <w:keepNext w:val="0"/>
              <w:keepLines w:val="0"/>
              <w:pageBreakBefore w:val="0"/>
              <w:kinsoku/>
              <w:wordWrap/>
              <w:overflowPunct/>
              <w:topLinePunct w:val="0"/>
              <w:autoSpaceDE/>
              <w:autoSpaceDN/>
              <w:bidi w:val="0"/>
              <w:adjustRightInd/>
              <w:snapToGrid/>
              <w:textAlignment w:val="auto"/>
              <w:rPr>
                <w:b/>
                <w:sz w:val="20"/>
                <w:szCs w:val="20"/>
                <w:u w:val="single"/>
                <w:lang w:eastAsia="ko-KR"/>
              </w:rPr>
            </w:pPr>
            <w:r>
              <w:rPr>
                <w:rFonts w:hint="eastAsia" w:eastAsiaTheme="minorEastAsia"/>
                <w:iCs/>
                <w:sz w:val="20"/>
                <w:szCs w:val="20"/>
                <w:highlight w:val="yellow"/>
              </w:rPr>
              <w:t>W</w:t>
            </w:r>
            <w:r>
              <w:rPr>
                <w:rFonts w:eastAsiaTheme="minorEastAsia"/>
                <w:iCs/>
                <w:sz w:val="20"/>
                <w:szCs w:val="20"/>
                <w:highlight w:val="yellow"/>
              </w:rPr>
              <w:t>ay forward</w:t>
            </w:r>
            <w:r>
              <w:rPr>
                <w:rFonts w:eastAsiaTheme="minorEastAsia"/>
                <w:iCs/>
                <w:sz w:val="20"/>
                <w:szCs w:val="20"/>
              </w:rPr>
              <w:t>:</w:t>
            </w:r>
          </w:p>
          <w:p>
            <w:pPr>
              <w:pStyle w:val="28"/>
              <w:keepNext w:val="0"/>
              <w:keepLines w:val="0"/>
              <w:pageBreakBefore w:val="0"/>
              <w:numPr>
                <w:ilvl w:val="0"/>
                <w:numId w:val="5"/>
              </w:numPr>
              <w:kinsoku/>
              <w:wordWrap/>
              <w:overflowPunct/>
              <w:topLinePunct w:val="0"/>
              <w:autoSpaceDE/>
              <w:autoSpaceDN/>
              <w:bidi w:val="0"/>
              <w:adjustRightInd/>
              <w:snapToGrid/>
              <w:ind w:hanging="357" w:firstLineChars="0"/>
              <w:textAlignment w:val="auto"/>
              <w:rPr>
                <w:rFonts w:hint="default"/>
                <w:lang w:val="en-US" w:eastAsia="zh-CN"/>
              </w:rPr>
            </w:pPr>
            <w:r>
              <w:rPr>
                <w:rFonts w:eastAsia="宋体" w:cs="Times New Roman"/>
                <w:sz w:val="20"/>
                <w:szCs w:val="20"/>
              </w:rPr>
              <w:t>Postpone the discussion, wait the conclusion from RF session.</w:t>
            </w:r>
            <w:bookmarkEnd w:id="0"/>
          </w:p>
        </w:tc>
      </w:tr>
    </w:tbl>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In this document, we will provide some further analysis on the remaining general issues of ATG based on the multiple new characteristics of ATG scenario.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Based on the characteristics of ATG system and some approved assumption in RF session, the following key points should be noted:</w:t>
      </w:r>
    </w:p>
    <w:p>
      <w:pPr>
        <w:numPr>
          <w:ilvl w:val="0"/>
          <w:numId w:val="6"/>
        </w:numPr>
        <w:ind w:left="420" w:leftChars="0" w:hanging="420" w:firstLineChars="0"/>
        <w:rPr>
          <w:rFonts w:hint="default"/>
          <w:lang w:val="en-US" w:eastAsia="zh-CN"/>
        </w:rPr>
      </w:pPr>
      <w:r>
        <w:rPr>
          <w:rFonts w:hint="eastAsia"/>
          <w:lang w:val="en-US" w:eastAsia="zh-CN"/>
        </w:rPr>
        <w:t>Extremely large ISD, e.g. about 100km to 200 km</w:t>
      </w:r>
    </w:p>
    <w:p>
      <w:pPr>
        <w:numPr>
          <w:ilvl w:val="0"/>
          <w:numId w:val="6"/>
        </w:numPr>
        <w:ind w:left="420" w:leftChars="0" w:hanging="420" w:firstLineChars="0"/>
        <w:rPr>
          <w:rFonts w:hint="default"/>
          <w:lang w:val="en-US" w:eastAsia="zh-CN"/>
        </w:rPr>
      </w:pPr>
      <w:r>
        <w:rPr>
          <w:rFonts w:hint="eastAsia"/>
          <w:lang w:val="en-US" w:eastAsia="zh-CN"/>
        </w:rPr>
        <w:t>Extremely high flight speed, e.g. up to 1200km/h</w:t>
      </w:r>
    </w:p>
    <w:p>
      <w:pPr>
        <w:numPr>
          <w:ilvl w:val="0"/>
          <w:numId w:val="6"/>
        </w:numPr>
        <w:ind w:left="420" w:leftChars="0" w:hanging="420" w:firstLineChars="0"/>
        <w:rPr>
          <w:rFonts w:hint="default"/>
          <w:lang w:val="en-US" w:eastAsia="zh-CN"/>
        </w:rPr>
      </w:pPr>
      <w:r>
        <w:rPr>
          <w:rFonts w:hint="eastAsia"/>
          <w:lang w:val="en-US" w:eastAsia="zh-CN"/>
        </w:rPr>
        <w:t>Utilizing same frequency for deploying both ATG and TN(terrestrial network), e.g. n1, n78, n79 -- So only focus on FR1</w:t>
      </w:r>
    </w:p>
    <w:p>
      <w:pPr>
        <w:numPr>
          <w:ilvl w:val="0"/>
          <w:numId w:val="6"/>
        </w:numPr>
        <w:ind w:left="420" w:leftChars="0" w:hanging="420" w:firstLineChars="0"/>
        <w:rPr>
          <w:rFonts w:hint="default"/>
          <w:lang w:val="en-US" w:eastAsia="zh-CN"/>
        </w:rPr>
      </w:pPr>
      <w:r>
        <w:rPr>
          <w:rFonts w:hint="eastAsia"/>
          <w:lang w:val="en-US" w:eastAsia="zh-CN"/>
        </w:rPr>
        <w:t>Much powerful on-board ATG terminal capacity</w:t>
      </w:r>
    </w:p>
    <w:p>
      <w:pPr>
        <w:numPr>
          <w:ilvl w:val="0"/>
          <w:numId w:val="6"/>
        </w:numPr>
        <w:ind w:left="420" w:leftChars="0" w:hanging="420" w:firstLineChars="0"/>
        <w:rPr>
          <w:rFonts w:hint="default"/>
          <w:lang w:val="en-US" w:eastAsia="zh-CN"/>
        </w:rPr>
      </w:pPr>
      <w:r>
        <w:rPr>
          <w:rFonts w:hint="eastAsia"/>
          <w:lang w:val="en-US" w:eastAsia="zh-CN"/>
        </w:rPr>
        <w:t>R18 only focuses on SA mode and single connectivity with operation in a single band. DC, FR2, inter-RAT are not applicable to ATG. CA is possible in future release depending on demands</w:t>
      </w:r>
    </w:p>
    <w:p>
      <w:pPr>
        <w:numPr>
          <w:ilvl w:val="0"/>
          <w:numId w:val="6"/>
        </w:numPr>
        <w:ind w:left="420" w:leftChars="0" w:hanging="420" w:firstLineChars="0"/>
        <w:rPr>
          <w:rFonts w:hint="default"/>
          <w:lang w:val="en-US" w:eastAsia="zh-CN"/>
        </w:rPr>
      </w:pPr>
      <w:r>
        <w:rPr>
          <w:rFonts w:hint="eastAsia"/>
          <w:lang w:val="en-US" w:eastAsia="zh-CN"/>
        </w:rPr>
        <w:t>Height of CPE: 3km--10km</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We provide our analysis for multiple RRM aspects given all the above key points of ATG system.</w:t>
      </w:r>
    </w:p>
    <w:p>
      <w:pPr>
        <w:pStyle w:val="3"/>
        <w:numPr>
          <w:ilvl w:val="0"/>
          <w:numId w:val="0"/>
        </w:numPr>
        <w:bidi w:val="0"/>
        <w:ind w:leftChars="0"/>
        <w:rPr>
          <w:rFonts w:hint="eastAsia" w:ascii="Helvetica" w:hAnsi="Helvetica" w:eastAsia="宋体" w:cs="Times New Roman"/>
          <w:b/>
          <w:bCs/>
          <w:iCs w:val="0"/>
          <w:color w:val="auto"/>
          <w:kern w:val="32"/>
          <w:sz w:val="28"/>
          <w:szCs w:val="32"/>
          <w:lang w:val="zh-CN" w:eastAsia="zh-CN" w:bidi="ar-SA"/>
        </w:rPr>
      </w:pPr>
      <w:r>
        <w:rPr>
          <w:rFonts w:hint="eastAsia" w:ascii="Helvetica" w:hAnsi="Helvetica" w:eastAsia="宋体" w:cs="Times New Roman"/>
          <w:b/>
          <w:bCs/>
          <w:iCs w:val="0"/>
          <w:color w:val="auto"/>
          <w:kern w:val="32"/>
          <w:sz w:val="28"/>
          <w:szCs w:val="32"/>
          <w:lang w:val="en-US" w:eastAsia="zh-CN" w:bidi="ar-SA"/>
        </w:rPr>
        <w:t>2.1 Maximum distance between CPE and BS</w:t>
      </w:r>
    </w:p>
    <w:p>
      <w:pPr>
        <w:pStyle w:val="4"/>
        <w:rPr>
          <w:rFonts w:hint="eastAsia" w:eastAsia="宋体"/>
          <w:color w:val="auto"/>
          <w:sz w:val="20"/>
          <w:szCs w:val="20"/>
          <w:lang w:val="en-US" w:eastAsia="zh-CN"/>
        </w:rPr>
      </w:pPr>
      <w:r>
        <w:rPr>
          <w:rFonts w:hint="eastAsia" w:eastAsia="宋体"/>
          <w:color w:val="auto"/>
          <w:sz w:val="20"/>
          <w:szCs w:val="20"/>
          <w:lang w:val="en-US" w:eastAsia="zh-CN"/>
        </w:rPr>
        <w:t>In our opinion, the traditional TN deployment is typical, which can be used for ATG scenario. Additionally, considering the horizon beam based coverage has been approved in RF session, so we believe there are two possible deployment for ATG scenario, as shown in Figure 1 and Figure 2.</w:t>
      </w:r>
    </w:p>
    <w:p>
      <w:pPr>
        <w:pStyle w:val="4"/>
        <w:jc w:val="center"/>
      </w:pPr>
      <w:r>
        <w:drawing>
          <wp:inline distT="0" distB="0" distL="114300" distR="114300">
            <wp:extent cx="4794250" cy="1894840"/>
            <wp:effectExtent l="0" t="0" r="6350" b="10160"/>
            <wp:docPr id="1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1"/>
                    <pic:cNvPicPr>
                      <a:picLocks noChangeAspect="1"/>
                    </pic:cNvPicPr>
                  </pic:nvPicPr>
                  <pic:blipFill>
                    <a:blip r:embed="rId5"/>
                    <a:stretch>
                      <a:fillRect/>
                    </a:stretch>
                  </pic:blipFill>
                  <pic:spPr>
                    <a:xfrm>
                      <a:off x="0" y="0"/>
                      <a:ext cx="4794250" cy="1894840"/>
                    </a:xfrm>
                    <a:prstGeom prst="rect">
                      <a:avLst/>
                    </a:prstGeom>
                    <a:noFill/>
                    <a:ln>
                      <a:noFill/>
                    </a:ln>
                  </pic:spPr>
                </pic:pic>
              </a:graphicData>
            </a:graphic>
          </wp:inline>
        </w:drawing>
      </w:r>
    </w:p>
    <w:p>
      <w:pPr>
        <w:pStyle w:val="4"/>
        <w:jc w:val="center"/>
        <w:rPr>
          <w:rFonts w:hint="eastAsia" w:eastAsia="宋体"/>
          <w:lang w:val="en-US" w:eastAsia="zh-CN"/>
        </w:rPr>
      </w:pPr>
      <w:r>
        <w:rPr>
          <w:rFonts w:hint="eastAsia" w:eastAsia="宋体"/>
          <w:lang w:val="en-US" w:eastAsia="zh-CN"/>
        </w:rPr>
        <w:t>Figure 1: Traditional TN deployment</w:t>
      </w:r>
    </w:p>
    <w:p>
      <w:pPr>
        <w:pStyle w:val="4"/>
        <w:jc w:val="center"/>
        <w:rPr>
          <w:rFonts w:hint="eastAsia" w:eastAsia="宋体"/>
          <w:lang w:val="en-US" w:eastAsia="zh-CN"/>
        </w:rPr>
      </w:pPr>
    </w:p>
    <w:p>
      <w:pPr>
        <w:pStyle w:val="4"/>
        <w:jc w:val="center"/>
      </w:pPr>
      <w:r>
        <w:drawing>
          <wp:inline distT="0" distB="0" distL="114300" distR="114300">
            <wp:extent cx="4478655" cy="1023620"/>
            <wp:effectExtent l="0" t="0" r="1905" b="1270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4478655" cy="1023620"/>
                    </a:xfrm>
                    <a:prstGeom prst="rect">
                      <a:avLst/>
                    </a:prstGeom>
                    <a:noFill/>
                    <a:ln>
                      <a:noFill/>
                    </a:ln>
                  </pic:spPr>
                </pic:pic>
              </a:graphicData>
            </a:graphic>
          </wp:inline>
        </w:drawing>
      </w:r>
    </w:p>
    <w:p>
      <w:pPr>
        <w:pStyle w:val="4"/>
        <w:jc w:val="center"/>
        <w:rPr>
          <w:rFonts w:hint="default" w:eastAsia="宋体"/>
          <w:lang w:val="en-US" w:eastAsia="zh-CN"/>
        </w:rPr>
      </w:pPr>
      <w:r>
        <w:rPr>
          <w:rFonts w:hint="eastAsia" w:eastAsia="宋体"/>
          <w:lang w:val="en-US" w:eastAsia="zh-CN"/>
        </w:rPr>
        <w:t>Figure 2: Horizon beam coverage deployment</w:t>
      </w:r>
    </w:p>
    <w:p>
      <w:pPr>
        <w:pStyle w:val="4"/>
        <w:numPr>
          <w:ilvl w:val="0"/>
          <w:numId w:val="6"/>
        </w:numPr>
        <w:ind w:left="420" w:leftChars="0" w:hanging="420" w:firstLineChars="0"/>
        <w:jc w:val="both"/>
        <w:rPr>
          <w:rFonts w:hint="eastAsia"/>
          <w:lang w:val="en-US" w:eastAsia="zh-CN"/>
        </w:rPr>
      </w:pPr>
      <w:r>
        <w:rPr>
          <w:rFonts w:hint="eastAsia"/>
          <w:lang w:val="en-US" w:eastAsia="zh-CN"/>
        </w:rPr>
        <w:t>For traditional TN deployment, the maximum distance between CPE and BS can be assumed as below:</w:t>
      </w:r>
    </w:p>
    <w:p>
      <w:pPr>
        <w:pStyle w:val="4"/>
        <w:numPr>
          <w:ilvl w:val="0"/>
          <w:numId w:val="7"/>
        </w:numPr>
        <w:ind w:left="0" w:leftChars="0" w:firstLine="420" w:firstLineChars="0"/>
        <w:jc w:val="both"/>
        <w:rPr>
          <w:rFonts w:hint="default"/>
          <w:lang w:val="en-US" w:eastAsia="zh-CN"/>
        </w:rPr>
      </w:pPr>
      <w:r>
        <w:rPr>
          <w:rFonts w:hint="eastAsia"/>
          <w:lang w:val="en-US" w:eastAsia="zh-CN"/>
        </w:rPr>
        <w:t xml:space="preserve">For Deployment Method 1, considering the CPE altitude is relative very small compared with ISD, so </w:t>
      </w:r>
    </w:p>
    <w:p>
      <w:pPr>
        <w:pStyle w:val="4"/>
        <w:numPr>
          <w:ilvl w:val="0"/>
          <w:numId w:val="0"/>
        </w:numPr>
        <w:ind w:leftChars="400"/>
        <w:jc w:val="both"/>
        <w:rPr>
          <w:rFonts w:hint="eastAsia"/>
          <w:lang w:val="en-US" w:eastAsia="zh-CN"/>
        </w:rPr>
      </w:pPr>
      <w:r>
        <w:rPr>
          <w:rFonts w:hint="eastAsia"/>
          <w:lang w:val="en-US" w:eastAsia="zh-CN"/>
        </w:rPr>
        <w:t xml:space="preserve">ISD = [100, 200] km, </w:t>
      </w:r>
    </w:p>
    <w:p>
      <w:pPr>
        <w:pStyle w:val="4"/>
        <w:numPr>
          <w:ilvl w:val="0"/>
          <w:numId w:val="0"/>
        </w:numPr>
        <w:ind w:leftChars="400"/>
        <w:jc w:val="both"/>
        <w:rPr>
          <w:rFonts w:hint="default"/>
          <w:lang w:val="en-US" w:eastAsia="zh-CN"/>
        </w:rPr>
      </w:pPr>
      <w:r>
        <w:rPr>
          <w:rFonts w:hint="eastAsia"/>
          <w:lang w:val="en-US" w:eastAsia="zh-CN"/>
        </w:rPr>
        <w:t xml:space="preserve">Radius = ISD/3, </w:t>
      </w:r>
    </w:p>
    <w:p>
      <w:pPr>
        <w:pStyle w:val="4"/>
        <w:numPr>
          <w:ilvl w:val="0"/>
          <w:numId w:val="0"/>
        </w:numPr>
        <w:ind w:leftChars="400"/>
        <w:jc w:val="both"/>
        <w:rPr>
          <w:rFonts w:hint="default"/>
          <w:lang w:val="en-US" w:eastAsia="zh-CN"/>
        </w:rPr>
      </w:pPr>
      <w:r>
        <w:rPr>
          <w:rFonts w:hint="eastAsia"/>
          <w:lang w:val="en-US" w:eastAsia="zh-CN"/>
        </w:rPr>
        <w:t xml:space="preserve">Maximum distance between CPE and BS </w:t>
      </w:r>
      <w:r>
        <w:rPr>
          <w:rFonts w:hint="default" w:ascii="Arial" w:hAnsi="Arial" w:cs="Arial"/>
          <w:lang w:val="en-US" w:eastAsia="zh-CN"/>
        </w:rPr>
        <w:t>≈</w:t>
      </w:r>
      <w:r>
        <w:rPr>
          <w:rFonts w:hint="eastAsia"/>
          <w:lang w:val="en-US" w:eastAsia="zh-CN"/>
        </w:rPr>
        <w:t xml:space="preserve"> 2*Radius = </w:t>
      </w:r>
      <w:r>
        <w:rPr>
          <w:rFonts w:hint="eastAsia"/>
          <w:highlight w:val="yellow"/>
          <w:lang w:val="en-US" w:eastAsia="zh-CN"/>
        </w:rPr>
        <w:t>[68, 134]</w:t>
      </w:r>
      <w:r>
        <w:rPr>
          <w:rFonts w:hint="eastAsia"/>
          <w:lang w:val="en-US" w:eastAsia="zh-CN"/>
        </w:rPr>
        <w:t xml:space="preserve"> km.</w:t>
      </w:r>
    </w:p>
    <w:p>
      <w:pPr>
        <w:pStyle w:val="4"/>
        <w:numPr>
          <w:ilvl w:val="0"/>
          <w:numId w:val="8"/>
        </w:numPr>
        <w:ind w:left="0" w:leftChars="0" w:firstLine="420" w:firstLineChars="0"/>
        <w:jc w:val="both"/>
        <w:rPr>
          <w:rFonts w:hint="default"/>
          <w:lang w:val="en-US" w:eastAsia="zh-CN"/>
        </w:rPr>
      </w:pPr>
      <w:r>
        <w:rPr>
          <w:rFonts w:hint="eastAsia"/>
          <w:lang w:val="en-US" w:eastAsia="zh-CN"/>
        </w:rPr>
        <w:t xml:space="preserve">For Deployment Method 2, considering the CPE altitude is relative very small compared with ISD, so </w:t>
      </w:r>
    </w:p>
    <w:p>
      <w:pPr>
        <w:pStyle w:val="4"/>
        <w:numPr>
          <w:ilvl w:val="0"/>
          <w:numId w:val="0"/>
        </w:numPr>
        <w:ind w:leftChars="400"/>
        <w:jc w:val="both"/>
        <w:rPr>
          <w:rFonts w:hint="eastAsia"/>
          <w:lang w:val="en-US" w:eastAsia="zh-CN"/>
        </w:rPr>
      </w:pPr>
      <w:r>
        <w:rPr>
          <w:rFonts w:hint="eastAsia"/>
          <w:lang w:val="en-US" w:eastAsia="zh-CN"/>
        </w:rPr>
        <w:t xml:space="preserve">ISD = [100, 200] km, </w:t>
      </w:r>
    </w:p>
    <w:p>
      <w:pPr>
        <w:pStyle w:val="4"/>
        <w:numPr>
          <w:ilvl w:val="0"/>
          <w:numId w:val="0"/>
        </w:numPr>
        <w:ind w:leftChars="400"/>
        <w:jc w:val="both"/>
        <w:rPr>
          <w:rFonts w:hint="default"/>
          <w:lang w:val="en-US" w:eastAsia="zh-CN"/>
        </w:rPr>
      </w:pPr>
      <w:r>
        <w:rPr>
          <w:rFonts w:hint="eastAsia"/>
          <w:lang w:val="en-US" w:eastAsia="zh-CN"/>
        </w:rPr>
        <w:t>Radius = ISD/</w:t>
      </w:r>
      <w:r>
        <w:rPr>
          <w:rFonts w:hint="default" w:ascii="Arial" w:hAnsi="Arial" w:cs="Arial"/>
          <w:lang w:val="en-US" w:eastAsia="zh-CN"/>
        </w:rPr>
        <w:t>√</w:t>
      </w:r>
      <w:r>
        <w:rPr>
          <w:rFonts w:hint="eastAsia"/>
          <w:lang w:val="en-US" w:eastAsia="zh-CN"/>
        </w:rPr>
        <w:t xml:space="preserve">3, </w:t>
      </w:r>
    </w:p>
    <w:p>
      <w:pPr>
        <w:pStyle w:val="4"/>
        <w:numPr>
          <w:ilvl w:val="0"/>
          <w:numId w:val="0"/>
        </w:numPr>
        <w:ind w:leftChars="400"/>
        <w:jc w:val="both"/>
        <w:rPr>
          <w:rFonts w:hint="default"/>
          <w:lang w:val="en-US" w:eastAsia="zh-CN"/>
        </w:rPr>
      </w:pPr>
      <w:r>
        <w:rPr>
          <w:rFonts w:hint="eastAsia"/>
          <w:lang w:val="en-US" w:eastAsia="zh-CN"/>
        </w:rPr>
        <w:t xml:space="preserve">Maximum distance between CPE and BS </w:t>
      </w:r>
      <w:r>
        <w:rPr>
          <w:rFonts w:hint="default" w:ascii="Arial" w:hAnsi="Arial" w:cs="Arial"/>
          <w:lang w:val="en-US" w:eastAsia="zh-CN"/>
        </w:rPr>
        <w:t>≈</w:t>
      </w:r>
      <w:r>
        <w:rPr>
          <w:rFonts w:hint="eastAsia"/>
          <w:lang w:val="en-US" w:eastAsia="zh-CN"/>
        </w:rPr>
        <w:t xml:space="preserve"> Radius = </w:t>
      </w:r>
      <w:r>
        <w:rPr>
          <w:rFonts w:hint="eastAsia"/>
          <w:highlight w:val="yellow"/>
          <w:lang w:val="en-US" w:eastAsia="zh-CN"/>
        </w:rPr>
        <w:t>[58, 115]</w:t>
      </w:r>
      <w:r>
        <w:rPr>
          <w:rFonts w:hint="eastAsia"/>
          <w:lang w:val="en-US" w:eastAsia="zh-CN"/>
        </w:rPr>
        <w:t xml:space="preserve"> km.</w:t>
      </w:r>
    </w:p>
    <w:p>
      <w:pPr>
        <w:pStyle w:val="4"/>
        <w:numPr>
          <w:ilvl w:val="0"/>
          <w:numId w:val="9"/>
        </w:numPr>
        <w:ind w:left="420" w:leftChars="0" w:hanging="420" w:firstLineChars="0"/>
        <w:jc w:val="both"/>
        <w:rPr>
          <w:rFonts w:hint="default" w:eastAsia="宋体"/>
          <w:lang w:val="en-US" w:eastAsia="zh-CN"/>
        </w:rPr>
      </w:pPr>
      <w:r>
        <w:rPr>
          <w:rFonts w:hint="eastAsia" w:eastAsia="宋体"/>
          <w:lang w:val="en-US" w:eastAsia="zh-CN"/>
        </w:rPr>
        <w:t>For horizon beam coverage deployment, the maximum distance between CPE and BS can be assumed as below:</w:t>
      </w:r>
    </w:p>
    <w:p>
      <w:pPr>
        <w:pStyle w:val="4"/>
        <w:numPr>
          <w:ilvl w:val="0"/>
          <w:numId w:val="0"/>
        </w:numPr>
        <w:ind w:leftChars="400"/>
        <w:jc w:val="both"/>
        <w:rPr>
          <w:rFonts w:hint="eastAsia"/>
          <w:lang w:val="en-US" w:eastAsia="zh-CN"/>
        </w:rPr>
      </w:pPr>
      <w:r>
        <w:rPr>
          <w:rFonts w:hint="eastAsia"/>
          <w:lang w:val="en-US" w:eastAsia="zh-CN"/>
        </w:rPr>
        <w:t xml:space="preserve">ISD = [100, 200] km, </w:t>
      </w:r>
    </w:p>
    <w:p>
      <w:pPr>
        <w:pStyle w:val="4"/>
        <w:numPr>
          <w:ilvl w:val="0"/>
          <w:numId w:val="0"/>
        </w:numPr>
        <w:ind w:leftChars="400"/>
        <w:jc w:val="both"/>
        <w:rPr>
          <w:rFonts w:hint="default"/>
          <w:lang w:val="en-US" w:eastAsia="zh-CN"/>
        </w:rPr>
      </w:pPr>
      <w:r>
        <w:rPr>
          <w:rFonts w:hint="eastAsia"/>
          <w:lang w:val="en-US" w:eastAsia="zh-CN"/>
        </w:rPr>
        <w:t>In [3], some basic assumption was provided as follows:</w:t>
      </w:r>
    </w:p>
    <w:p>
      <w:pPr>
        <w:pStyle w:val="4"/>
        <w:numPr>
          <w:ilvl w:val="0"/>
          <w:numId w:val="0"/>
        </w:numPr>
        <w:ind w:leftChars="400"/>
        <w:jc w:val="both"/>
        <w:rPr>
          <w:rFonts w:hint="eastAsia"/>
          <w:lang w:val="en-US" w:eastAsia="zh-CN"/>
        </w:rPr>
      </w:pPr>
      <w:r>
        <w:rPr>
          <w:rFonts w:hint="eastAsia"/>
          <w:lang w:val="en-US" w:eastAsia="zh-CN"/>
        </w:rPr>
        <w:t xml:space="preserve">Base station vertical coverage range (degrees): 25°for non sub-array and 10°for sub-array, </w:t>
      </w:r>
    </w:p>
    <w:p>
      <w:pPr>
        <w:pStyle w:val="4"/>
        <w:numPr>
          <w:ilvl w:val="0"/>
          <w:numId w:val="0"/>
        </w:numPr>
        <w:ind w:leftChars="400"/>
        <w:jc w:val="both"/>
        <w:rPr>
          <w:rFonts w:hint="eastAsia"/>
          <w:lang w:val="en-US" w:eastAsia="zh-CN"/>
        </w:rPr>
      </w:pPr>
      <w:r>
        <w:rPr>
          <w:rFonts w:hint="eastAsia"/>
          <w:lang w:val="en-US" w:eastAsia="zh-CN"/>
        </w:rPr>
        <w:t>Mechanical up tilt (degrees): 14°for non sub-array and 6.5°for sub-array,</w:t>
      </w:r>
    </w:p>
    <w:p>
      <w:pPr>
        <w:pStyle w:val="4"/>
        <w:numPr>
          <w:ilvl w:val="0"/>
          <w:numId w:val="10"/>
        </w:numPr>
        <w:ind w:left="840" w:leftChars="0" w:hanging="420" w:firstLineChars="0"/>
        <w:jc w:val="both"/>
        <w:rPr>
          <w:rFonts w:hint="default"/>
          <w:lang w:val="en-US" w:eastAsia="zh-CN"/>
        </w:rPr>
      </w:pPr>
      <w:r>
        <w:rPr>
          <w:rFonts w:hint="eastAsia"/>
          <w:lang w:val="en-US" w:eastAsia="zh-CN"/>
        </w:rPr>
        <w:t>For non sub-array case</w:t>
      </w:r>
    </w:p>
    <w:p>
      <w:pPr>
        <w:pStyle w:val="4"/>
        <w:numPr>
          <w:ilvl w:val="0"/>
          <w:numId w:val="0"/>
        </w:numPr>
        <w:ind w:leftChars="400"/>
        <w:jc w:val="both"/>
        <w:rPr>
          <w:rFonts w:hint="default"/>
          <w:lang w:val="en-US" w:eastAsia="zh-CN"/>
        </w:rPr>
      </w:pPr>
      <w:r>
        <w:rPr>
          <w:rFonts w:hint="eastAsia"/>
          <w:lang w:val="en-US" w:eastAsia="zh-CN"/>
        </w:rPr>
        <w:t xml:space="preserve">For ISD = 100 km, Maximum distance between CPE and BS </w:t>
      </w:r>
      <w:r>
        <w:rPr>
          <w:rFonts w:hint="default" w:ascii="Arial" w:hAnsi="Arial" w:cs="Arial"/>
          <w:lang w:val="en-US" w:eastAsia="zh-CN"/>
        </w:rPr>
        <w:t>≈</w:t>
      </w:r>
      <w:r>
        <w:rPr>
          <w:rFonts w:hint="eastAsia"/>
          <w:lang w:val="en-US" w:eastAsia="zh-CN"/>
        </w:rPr>
        <w:t xml:space="preserve"> 100 + 10/tan(14°+ 0.5*25°) = 120 km</w:t>
      </w:r>
    </w:p>
    <w:p>
      <w:pPr>
        <w:pStyle w:val="4"/>
        <w:numPr>
          <w:ilvl w:val="0"/>
          <w:numId w:val="0"/>
        </w:numPr>
        <w:ind w:leftChars="400"/>
        <w:jc w:val="both"/>
        <w:rPr>
          <w:rFonts w:hint="default"/>
          <w:lang w:val="en-US" w:eastAsia="zh-CN"/>
        </w:rPr>
      </w:pPr>
      <w:r>
        <w:rPr>
          <w:rFonts w:hint="eastAsia"/>
          <w:lang w:val="en-US" w:eastAsia="zh-CN"/>
        </w:rPr>
        <w:t xml:space="preserve">For ISD = 200 km, Maximum distance between CPE and BS </w:t>
      </w:r>
      <w:r>
        <w:rPr>
          <w:rFonts w:hint="default" w:ascii="Arial" w:hAnsi="Arial" w:cs="Arial"/>
          <w:lang w:val="en-US" w:eastAsia="zh-CN"/>
        </w:rPr>
        <w:t>≈</w:t>
      </w:r>
      <w:r>
        <w:rPr>
          <w:rFonts w:hint="eastAsia"/>
          <w:lang w:val="en-US" w:eastAsia="zh-CN"/>
        </w:rPr>
        <w:t xml:space="preserve"> 200 + 10/tan(14°+ 0.5*25°) = 220 km</w:t>
      </w:r>
    </w:p>
    <w:p>
      <w:pPr>
        <w:pStyle w:val="4"/>
        <w:numPr>
          <w:ilvl w:val="0"/>
          <w:numId w:val="0"/>
        </w:numPr>
        <w:ind w:leftChars="400"/>
        <w:jc w:val="both"/>
        <w:rPr>
          <w:rFonts w:hint="eastAsia"/>
          <w:lang w:val="en-US" w:eastAsia="zh-CN"/>
        </w:rPr>
      </w:pPr>
      <w:r>
        <w:rPr>
          <w:rFonts w:hint="eastAsia"/>
          <w:lang w:val="en-US" w:eastAsia="zh-CN"/>
        </w:rPr>
        <w:t xml:space="preserve">Maximum distance between CPE and BS </w:t>
      </w:r>
      <w:r>
        <w:rPr>
          <w:rFonts w:hint="default" w:ascii="Arial" w:hAnsi="Arial" w:cs="Arial"/>
          <w:lang w:val="en-US" w:eastAsia="zh-CN"/>
        </w:rPr>
        <w:t>≈</w:t>
      </w:r>
      <w:r>
        <w:rPr>
          <w:rFonts w:hint="eastAsia" w:ascii="Arial" w:hAnsi="Arial" w:cs="Arial"/>
          <w:lang w:val="en-US" w:eastAsia="zh-CN"/>
        </w:rPr>
        <w:t xml:space="preserve"> </w:t>
      </w:r>
      <w:r>
        <w:rPr>
          <w:rFonts w:hint="eastAsia"/>
          <w:highlight w:val="yellow"/>
          <w:lang w:val="en-US" w:eastAsia="zh-CN"/>
        </w:rPr>
        <w:t>[120, 220]</w:t>
      </w:r>
      <w:r>
        <w:rPr>
          <w:rFonts w:hint="eastAsia"/>
          <w:lang w:val="en-US" w:eastAsia="zh-CN"/>
        </w:rPr>
        <w:t xml:space="preserve"> km.</w:t>
      </w:r>
    </w:p>
    <w:p>
      <w:pPr>
        <w:pStyle w:val="4"/>
        <w:numPr>
          <w:ilvl w:val="0"/>
          <w:numId w:val="10"/>
        </w:numPr>
        <w:ind w:left="840" w:leftChars="0" w:hanging="420" w:firstLineChars="0"/>
        <w:jc w:val="both"/>
        <w:rPr>
          <w:rFonts w:hint="default"/>
          <w:lang w:val="en-US" w:eastAsia="zh-CN"/>
        </w:rPr>
      </w:pPr>
      <w:r>
        <w:rPr>
          <w:rFonts w:hint="eastAsia"/>
          <w:lang w:val="en-US" w:eastAsia="zh-CN"/>
        </w:rPr>
        <w:t>For sub-array case</w:t>
      </w:r>
    </w:p>
    <w:p>
      <w:pPr>
        <w:pStyle w:val="4"/>
        <w:numPr>
          <w:ilvl w:val="0"/>
          <w:numId w:val="0"/>
        </w:numPr>
        <w:ind w:leftChars="400"/>
        <w:jc w:val="both"/>
        <w:rPr>
          <w:rFonts w:hint="default"/>
          <w:lang w:val="en-US" w:eastAsia="zh-CN"/>
        </w:rPr>
      </w:pPr>
      <w:r>
        <w:rPr>
          <w:rFonts w:hint="eastAsia"/>
          <w:lang w:val="en-US" w:eastAsia="zh-CN"/>
        </w:rPr>
        <w:t xml:space="preserve">For ISD = 100 km, Maximum distance between CPE and BS </w:t>
      </w:r>
      <w:r>
        <w:rPr>
          <w:rFonts w:hint="default" w:ascii="Arial" w:hAnsi="Arial" w:cs="Arial"/>
          <w:lang w:val="en-US" w:eastAsia="zh-CN"/>
        </w:rPr>
        <w:t>≈</w:t>
      </w:r>
      <w:r>
        <w:rPr>
          <w:rFonts w:hint="eastAsia"/>
          <w:lang w:val="en-US" w:eastAsia="zh-CN"/>
        </w:rPr>
        <w:t xml:space="preserve"> 100 + 10/tan(6.5°+ 0.5*10°) = 150 km</w:t>
      </w:r>
    </w:p>
    <w:p>
      <w:pPr>
        <w:pStyle w:val="4"/>
        <w:numPr>
          <w:ilvl w:val="0"/>
          <w:numId w:val="0"/>
        </w:numPr>
        <w:ind w:leftChars="400"/>
        <w:jc w:val="both"/>
        <w:rPr>
          <w:rFonts w:hint="default"/>
          <w:lang w:val="en-US" w:eastAsia="zh-CN"/>
        </w:rPr>
      </w:pPr>
      <w:r>
        <w:rPr>
          <w:rFonts w:hint="eastAsia"/>
          <w:lang w:val="en-US" w:eastAsia="zh-CN"/>
        </w:rPr>
        <w:t xml:space="preserve">For ISD = 200 km, Maximum distance between CPE and BS </w:t>
      </w:r>
      <w:r>
        <w:rPr>
          <w:rFonts w:hint="default" w:ascii="Arial" w:hAnsi="Arial" w:cs="Arial"/>
          <w:lang w:val="en-US" w:eastAsia="zh-CN"/>
        </w:rPr>
        <w:t>≈</w:t>
      </w:r>
      <w:r>
        <w:rPr>
          <w:rFonts w:hint="eastAsia"/>
          <w:lang w:val="en-US" w:eastAsia="zh-CN"/>
        </w:rPr>
        <w:t xml:space="preserve"> 200 + 10/tan(6.5°+ 0.5*10°) = 250 km</w:t>
      </w:r>
    </w:p>
    <w:p>
      <w:pPr>
        <w:pStyle w:val="4"/>
        <w:numPr>
          <w:ilvl w:val="0"/>
          <w:numId w:val="0"/>
        </w:numPr>
        <w:ind w:leftChars="400"/>
        <w:jc w:val="both"/>
        <w:rPr>
          <w:rFonts w:hint="default"/>
          <w:lang w:val="en-US" w:eastAsia="zh-CN"/>
        </w:rPr>
      </w:pPr>
      <w:r>
        <w:rPr>
          <w:rFonts w:hint="eastAsia"/>
          <w:lang w:val="en-US" w:eastAsia="zh-CN"/>
        </w:rPr>
        <w:t xml:space="preserve">Maximum distance between CPE and BS </w:t>
      </w:r>
      <w:r>
        <w:rPr>
          <w:rFonts w:hint="default" w:ascii="Arial" w:hAnsi="Arial" w:cs="Arial"/>
          <w:lang w:val="en-US" w:eastAsia="zh-CN"/>
        </w:rPr>
        <w:t>≈</w:t>
      </w:r>
      <w:r>
        <w:rPr>
          <w:rFonts w:hint="eastAsia" w:ascii="Arial" w:hAnsi="Arial" w:cs="Arial"/>
          <w:lang w:val="en-US" w:eastAsia="zh-CN"/>
        </w:rPr>
        <w:t xml:space="preserve"> </w:t>
      </w:r>
      <w:r>
        <w:rPr>
          <w:rFonts w:hint="eastAsia"/>
          <w:highlight w:val="yellow"/>
          <w:lang w:val="en-US" w:eastAsia="zh-CN"/>
        </w:rPr>
        <w:t>[150, 250]</w:t>
      </w:r>
      <w:r>
        <w:rPr>
          <w:rFonts w:hint="eastAsia"/>
          <w:lang w:val="en-US" w:eastAsia="zh-CN"/>
        </w:rPr>
        <w:t xml:space="preserve"> km.</w:t>
      </w:r>
    </w:p>
    <w:p>
      <w:pPr>
        <w:pStyle w:val="4"/>
        <w:numPr>
          <w:ilvl w:val="0"/>
          <w:numId w:val="0"/>
        </w:numPr>
        <w:jc w:val="both"/>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Under the assumption of traditional TN deployment, considering the ISD of 100-200 km, the maximum distance between CPE and BS is 68-134 km or 58-115 km.</w:t>
      </w:r>
    </w:p>
    <w:p>
      <w:pPr>
        <w:pStyle w:val="4"/>
        <w:numPr>
          <w:ilvl w:val="0"/>
          <w:numId w:val="0"/>
        </w:numPr>
        <w:jc w:val="both"/>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2: Under the assumption of horizon beam coverage deployment, considering the ISD of 100-200 km, the maximum distance between CPE and BS is 120-220 km for non sub-array case and 150-250 km for sub-array case.</w:t>
      </w:r>
    </w:p>
    <w:p>
      <w:pPr>
        <w:pStyle w:val="3"/>
        <w:numPr>
          <w:ilvl w:val="0"/>
          <w:numId w:val="0"/>
        </w:numPr>
        <w:bidi w:val="0"/>
        <w:ind w:leftChars="0"/>
        <w:rPr>
          <w:rFonts w:hint="default" w:ascii="Helvetica" w:hAnsi="Helvetic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2.2 UE assistance information(UE detecting and informing the NW)</w:t>
      </w:r>
    </w:p>
    <w:p>
      <w:pPr>
        <w:pStyle w:val="4"/>
        <w:rPr>
          <w:rFonts w:hint="eastAsia" w:eastAsia="宋体"/>
          <w:color w:val="auto"/>
          <w:sz w:val="20"/>
          <w:szCs w:val="20"/>
          <w:lang w:val="en-US" w:eastAsia="zh-CN"/>
        </w:rPr>
      </w:pPr>
      <w:r>
        <w:rPr>
          <w:rFonts w:hint="eastAsia" w:eastAsia="宋体"/>
          <w:color w:val="auto"/>
          <w:sz w:val="20"/>
          <w:szCs w:val="20"/>
          <w:lang w:val="en-US" w:eastAsia="zh-CN"/>
        </w:rPr>
        <w:t>During last meeting, regarding to UAI, the following options were captured in [2]:</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pStyle w:val="28"/>
              <w:numPr>
                <w:ilvl w:val="0"/>
                <w:numId w:val="5"/>
              </w:numPr>
              <w:spacing w:after="120"/>
              <w:ind w:hanging="357" w:firstLineChars="0"/>
              <w:rPr>
                <w:rFonts w:eastAsia="宋体" w:cs="Times New Roman"/>
                <w:sz w:val="20"/>
                <w:szCs w:val="20"/>
              </w:rPr>
            </w:pPr>
            <w:r>
              <w:rPr>
                <w:rFonts w:eastAsia="宋体" w:cs="Times New Roman"/>
                <w:sz w:val="20"/>
                <w:szCs w:val="20"/>
              </w:rPr>
              <w:t xml:space="preserve">Option 1: ATG WI should avoid to introduce new UAI reporting method. </w:t>
            </w:r>
          </w:p>
          <w:p>
            <w:pPr>
              <w:pStyle w:val="28"/>
              <w:numPr>
                <w:ilvl w:val="0"/>
                <w:numId w:val="5"/>
              </w:numPr>
              <w:spacing w:after="120"/>
              <w:ind w:hanging="357" w:firstLineChars="0"/>
              <w:rPr>
                <w:rFonts w:eastAsia="宋体" w:cs="Times New Roman"/>
                <w:sz w:val="20"/>
                <w:szCs w:val="20"/>
              </w:rPr>
            </w:pPr>
            <w:r>
              <w:rPr>
                <w:rFonts w:eastAsia="宋体" w:cs="Times New Roman"/>
                <w:sz w:val="20"/>
                <w:szCs w:val="20"/>
              </w:rPr>
              <w:t xml:space="preserve">Option 2: There is no need to preclude new UAI and its reporting methods at this stage. Postpone the decision on assistance information (both UE-based and network-based) until the RRM requirement framework is clear. </w:t>
            </w:r>
          </w:p>
          <w:p>
            <w:pPr>
              <w:pStyle w:val="28"/>
              <w:numPr>
                <w:ilvl w:val="1"/>
                <w:numId w:val="5"/>
              </w:numPr>
              <w:spacing w:after="120"/>
              <w:ind w:firstLineChars="0"/>
              <w:rPr>
                <w:rFonts w:eastAsia="宋体" w:cs="Times New Roman"/>
                <w:sz w:val="20"/>
                <w:szCs w:val="20"/>
              </w:rPr>
            </w:pPr>
            <w:r>
              <w:rPr>
                <w:rFonts w:eastAsia="宋体" w:cs="Times New Roman"/>
                <w:sz w:val="20"/>
                <w:szCs w:val="20"/>
              </w:rPr>
              <w:t xml:space="preserve">Option 2a: Assistance information related to unpredictable changes in flight operation mode are introduced: 1) UE detecting and informing the NW, 2) NW informing the UE </w:t>
            </w:r>
          </w:p>
          <w:p>
            <w:pPr>
              <w:pStyle w:val="28"/>
              <w:numPr>
                <w:ilvl w:val="0"/>
                <w:numId w:val="5"/>
              </w:numPr>
              <w:spacing w:after="120"/>
              <w:ind w:hanging="357" w:firstLineChars="0"/>
              <w:rPr>
                <w:rFonts w:hint="default"/>
                <w:vertAlign w:val="baseline"/>
                <w:lang w:val="en-US" w:eastAsia="zh-CN"/>
              </w:rPr>
            </w:pPr>
            <w:r>
              <w:rPr>
                <w:rFonts w:eastAsia="宋体" w:cs="Times New Roman"/>
                <w:sz w:val="20"/>
                <w:szCs w:val="20"/>
              </w:rPr>
              <w:t xml:space="preserve">Option 3: Whether to introduce new UE assistant information will require RAN1/RAN2 work, which shall not be decided in WG. </w:t>
            </w:r>
          </w:p>
        </w:tc>
      </w:tr>
    </w:tbl>
    <w:p>
      <w:pPr>
        <w:pStyle w:val="4"/>
        <w:rPr>
          <w:rFonts w:hint="default" w:eastAsia="宋体"/>
          <w:color w:val="auto"/>
          <w:sz w:val="20"/>
          <w:szCs w:val="20"/>
          <w:lang w:val="en-US" w:eastAsia="zh-CN"/>
        </w:rPr>
      </w:pPr>
      <w:r>
        <w:rPr>
          <w:rFonts w:hint="eastAsia" w:eastAsia="宋体"/>
          <w:color w:val="auto"/>
          <w:sz w:val="20"/>
          <w:szCs w:val="20"/>
          <w:lang w:val="en-US" w:eastAsia="zh-CN"/>
        </w:rPr>
        <w:t>During previous several meetings, multiple types of UAI were discussed, including the UAI of altitude, location, velocity, flight path, propagation delay information and remaining service time for serving cell. It seems that all of these UAI are helpful to address the timing and frequency syn related issues caused by large ISD and high speed of moving.</w:t>
      </w:r>
    </w:p>
    <w:p>
      <w:pPr>
        <w:pStyle w:val="4"/>
        <w:rPr>
          <w:rFonts w:hint="eastAsia" w:eastAsia="宋体"/>
          <w:color w:val="auto"/>
          <w:sz w:val="20"/>
          <w:szCs w:val="20"/>
          <w:lang w:val="en-US" w:eastAsia="zh-CN"/>
        </w:rPr>
      </w:pPr>
      <w:r>
        <w:rPr>
          <w:rFonts w:hint="eastAsia" w:eastAsia="宋体"/>
          <w:color w:val="auto"/>
          <w:sz w:val="20"/>
          <w:szCs w:val="20"/>
          <w:lang w:val="en-US" w:eastAsia="zh-CN"/>
        </w:rPr>
        <w:t xml:space="preserve">However, regarding to all of these UAI, we raise a common concern: Under the high speed of up to 1200km/h, whether the report from UE can be received by the NW in time enough? If not, it would be meaningless. </w:t>
      </w:r>
    </w:p>
    <w:p>
      <w:pPr>
        <w:pStyle w:val="4"/>
        <w:rPr>
          <w:rFonts w:hint="eastAsia" w:eastAsia="宋体"/>
          <w:color w:val="auto"/>
          <w:sz w:val="20"/>
          <w:szCs w:val="20"/>
          <w:lang w:val="en-US" w:eastAsia="zh-CN"/>
        </w:rPr>
      </w:pPr>
      <w:r>
        <w:rPr>
          <w:rFonts w:hint="eastAsia" w:eastAsia="宋体" w:cs="Times New Roman"/>
          <w:b/>
          <w:bCs/>
          <w:color w:val="auto"/>
          <w:sz w:val="20"/>
          <w:szCs w:val="20"/>
          <w:highlight w:val="none"/>
          <w:lang w:val="en-US" w:eastAsia="zh-CN" w:bidi="ar-SA"/>
        </w:rPr>
        <w:t>Observation 3: Regarding to all of these UAI, a common concern is raised: Under the high speed of up to 1200km/h, whether the report from UE can be received by the NW in time enough? If not, it would be meaningless.</w:t>
      </w:r>
    </w:p>
    <w:p>
      <w:pPr>
        <w:pStyle w:val="4"/>
        <w:rPr>
          <w:rFonts w:hint="default" w:eastAsia="宋体"/>
          <w:color w:val="auto"/>
          <w:sz w:val="20"/>
          <w:szCs w:val="20"/>
          <w:lang w:val="en-US" w:eastAsia="zh-CN"/>
        </w:rPr>
      </w:pPr>
      <w:r>
        <w:rPr>
          <w:rFonts w:hint="default" w:eastAsia="宋体"/>
          <w:color w:val="auto"/>
          <w:sz w:val="20"/>
          <w:szCs w:val="20"/>
          <w:lang w:val="en-US" w:eastAsia="zh-CN"/>
        </w:rPr>
        <w:t>To our understanding, when we talking about whether UE need to report the UAI or not, a key point is whether UE performs pre-compensation. If UE would perform time/frequency pre-compensation, the UAI such as altitude, location</w:t>
      </w:r>
      <w:r>
        <w:rPr>
          <w:rFonts w:hint="eastAsia" w:eastAsia="宋体"/>
          <w:color w:val="auto"/>
          <w:sz w:val="20"/>
          <w:szCs w:val="20"/>
          <w:lang w:val="en-US" w:eastAsia="zh-CN"/>
        </w:rPr>
        <w:t>,</w:t>
      </w:r>
      <w:r>
        <w:rPr>
          <w:rFonts w:hint="default" w:eastAsia="宋体"/>
          <w:color w:val="auto"/>
          <w:sz w:val="20"/>
          <w:szCs w:val="20"/>
          <w:lang w:val="en-US" w:eastAsia="zh-CN"/>
        </w:rPr>
        <w:t xml:space="preserve"> velocity </w:t>
      </w:r>
      <w:r>
        <w:rPr>
          <w:rFonts w:hint="eastAsia" w:eastAsia="宋体"/>
          <w:color w:val="auto"/>
          <w:sz w:val="20"/>
          <w:szCs w:val="20"/>
          <w:lang w:val="en-US" w:eastAsia="zh-CN"/>
        </w:rPr>
        <w:t xml:space="preserve">and flight path </w:t>
      </w:r>
      <w:r>
        <w:rPr>
          <w:rFonts w:hint="default" w:eastAsia="宋体"/>
          <w:color w:val="auto"/>
          <w:sz w:val="20"/>
          <w:szCs w:val="20"/>
          <w:lang w:val="en-US" w:eastAsia="zh-CN"/>
        </w:rPr>
        <w:t xml:space="preserve">are almost useless for NW. </w:t>
      </w:r>
    </w:p>
    <w:p>
      <w:pPr>
        <w:pStyle w:val="4"/>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 xml:space="preserve">Observation 4: If UE would perform time/frequency pre-compensation, the UAI such as altitude, location, velocity and flight path are almost useless for NW. </w:t>
      </w:r>
    </w:p>
    <w:p>
      <w:pPr>
        <w:pStyle w:val="4"/>
        <w:rPr>
          <w:rFonts w:hint="eastAsia" w:eastAsia="宋体"/>
          <w:color w:val="auto"/>
          <w:sz w:val="20"/>
          <w:szCs w:val="20"/>
          <w:lang w:val="en-US" w:eastAsia="zh-CN"/>
        </w:rPr>
      </w:pPr>
      <w:r>
        <w:rPr>
          <w:rFonts w:hint="default" w:eastAsia="宋体"/>
          <w:color w:val="auto"/>
          <w:sz w:val="20"/>
          <w:szCs w:val="20"/>
          <w:lang w:val="en-US" w:eastAsia="zh-CN"/>
        </w:rPr>
        <w:t>Referring to the timing related UAI, such as propagation delay estimation, such info can help NW to identify the overlapping between DL slot and UL slot due to large propagation delay</w:t>
      </w:r>
      <w:r>
        <w:rPr>
          <w:rFonts w:hint="eastAsia" w:eastAsia="宋体"/>
          <w:color w:val="auto"/>
          <w:sz w:val="20"/>
          <w:szCs w:val="20"/>
          <w:lang w:val="en-US" w:eastAsia="zh-CN"/>
        </w:rPr>
        <w:t xml:space="preserve"> so as to help NW identify the suitable TDD pattern</w:t>
      </w:r>
      <w:r>
        <w:rPr>
          <w:rFonts w:hint="default" w:eastAsia="宋体"/>
          <w:color w:val="auto"/>
          <w:sz w:val="20"/>
          <w:szCs w:val="20"/>
          <w:lang w:val="en-US" w:eastAsia="zh-CN"/>
        </w:rPr>
        <w:t xml:space="preserve">. </w:t>
      </w:r>
      <w:r>
        <w:rPr>
          <w:rFonts w:hint="eastAsia" w:eastAsia="宋体"/>
          <w:color w:val="auto"/>
          <w:sz w:val="20"/>
          <w:szCs w:val="20"/>
          <w:lang w:val="en-US" w:eastAsia="zh-CN"/>
        </w:rPr>
        <w:t>But the gain brought by such UAI depends on the common concern, whether the report is in time enough. When UE estimate the propagation delay, it should predict the value when NW receives such UAI report. The accuracy of such predict would determine the effect.</w:t>
      </w:r>
    </w:p>
    <w:p>
      <w:pPr>
        <w:pStyle w:val="4"/>
        <w:rPr>
          <w:rFonts w:hint="eastAsia" w:eastAsia="宋体"/>
          <w:color w:val="auto"/>
          <w:sz w:val="20"/>
          <w:szCs w:val="20"/>
          <w:lang w:val="en-US" w:eastAsia="zh-CN"/>
        </w:rPr>
      </w:pPr>
      <w:r>
        <w:rPr>
          <w:rFonts w:hint="eastAsia" w:eastAsia="宋体" w:cs="Times New Roman"/>
          <w:b/>
          <w:bCs/>
          <w:color w:val="auto"/>
          <w:sz w:val="20"/>
          <w:szCs w:val="20"/>
          <w:highlight w:val="none"/>
          <w:lang w:val="en-US" w:eastAsia="zh-CN" w:bidi="ar-SA"/>
        </w:rPr>
        <w:t>Observation 5: When UE estimate the propagation delay, it should predict the value when NW receives such UAI report. The accuracy of such predict would determine the effect.</w:t>
      </w:r>
    </w:p>
    <w:p>
      <w:pPr>
        <w:pStyle w:val="4"/>
        <w:rPr>
          <w:rFonts w:hint="eastAsia" w:eastAsia="宋体"/>
          <w:color w:val="auto"/>
          <w:sz w:val="20"/>
          <w:szCs w:val="20"/>
          <w:lang w:val="en-US" w:eastAsia="zh-CN"/>
        </w:rPr>
      </w:pPr>
      <w:r>
        <w:rPr>
          <w:rFonts w:hint="eastAsia" w:eastAsia="宋体"/>
          <w:color w:val="auto"/>
          <w:sz w:val="20"/>
          <w:szCs w:val="20"/>
          <w:lang w:val="en-US" w:eastAsia="zh-CN"/>
        </w:rPr>
        <w:t>Regarding to the service related UAI, such as the remaining service time, we are not sure how to estimate such info by UE, Since all scheduling decision is up to NW.</w:t>
      </w:r>
    </w:p>
    <w:p>
      <w:pPr>
        <w:pStyle w:val="4"/>
        <w:rPr>
          <w:rFonts w:hint="eastAsia" w:eastAsia="宋体"/>
          <w:color w:val="auto"/>
          <w:sz w:val="20"/>
          <w:szCs w:val="20"/>
          <w:lang w:val="en-US" w:eastAsia="zh-CN"/>
        </w:rPr>
      </w:pPr>
      <w:r>
        <w:rPr>
          <w:rFonts w:hint="eastAsia" w:eastAsia="宋体" w:cs="Times New Roman"/>
          <w:b/>
          <w:bCs/>
          <w:color w:val="auto"/>
          <w:sz w:val="20"/>
          <w:szCs w:val="20"/>
          <w:highlight w:val="none"/>
          <w:lang w:val="en-US" w:eastAsia="zh-CN" w:bidi="ar-SA"/>
        </w:rPr>
        <w:t>Observation 6: Regarding to the service related UAI, such as the remaining service time, we are not sure how to estimate such info by UE, Since all scheduling decision is up to NW.</w:t>
      </w:r>
    </w:p>
    <w:p>
      <w:pPr>
        <w:pStyle w:val="4"/>
        <w:rPr>
          <w:rFonts w:hint="default" w:eastAsia="宋体"/>
          <w:color w:val="auto"/>
          <w:sz w:val="20"/>
          <w:szCs w:val="20"/>
          <w:lang w:val="en-US" w:eastAsia="zh-CN"/>
        </w:rPr>
      </w:pPr>
      <w:r>
        <w:rPr>
          <w:rFonts w:hint="eastAsia" w:eastAsia="宋体"/>
          <w:color w:val="auto"/>
          <w:sz w:val="20"/>
          <w:szCs w:val="20"/>
          <w:lang w:val="en-US" w:eastAsia="zh-CN"/>
        </w:rPr>
        <w:t>In a whole, based on our above analysis, we can not see obvious motivation and feasibility guarantee to introduce the above UAI report.</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Based on our above analysis, we can not see obvious motivation and feasibility guarantee to introduce the above UAI report.</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4"/>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the consideration of general RRM aspects for ATG system</w:t>
      </w:r>
      <w:r>
        <w:rPr>
          <w:rFonts w:eastAsia="宋体"/>
          <w:bCs/>
          <w:color w:val="auto"/>
          <w:sz w:val="20"/>
          <w:szCs w:val="20"/>
          <w:lang w:val="en-GB" w:eastAsia="zh-CN"/>
        </w:rPr>
        <w:t>:</w:t>
      </w:r>
    </w:p>
    <w:p>
      <w:pPr>
        <w:pStyle w:val="4"/>
        <w:numPr>
          <w:ilvl w:val="0"/>
          <w:numId w:val="0"/>
        </w:numPr>
        <w:jc w:val="both"/>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Under the assumption of traditional TN deployment, considering the ISD of 100-200 km, the maximum distance between CPE and BS is 68-134 km or 58-115 km.</w:t>
      </w:r>
    </w:p>
    <w:p>
      <w:pPr>
        <w:pStyle w:val="4"/>
        <w:numPr>
          <w:ilvl w:val="0"/>
          <w:numId w:val="0"/>
        </w:numPr>
        <w:jc w:val="both"/>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2: Under the assumption of horizon beam coverage deployment, considering the ISD of 100-200 km, the maximum distance between CPE and BS is 120-220 km for non sub-array case and 150-250 km for sub-array case.</w:t>
      </w:r>
    </w:p>
    <w:p>
      <w:pPr>
        <w:pStyle w:val="4"/>
        <w:rPr>
          <w:rFonts w:hint="eastAsia" w:eastAsia="宋体"/>
          <w:color w:val="auto"/>
          <w:sz w:val="20"/>
          <w:szCs w:val="20"/>
          <w:lang w:val="en-US" w:eastAsia="zh-CN"/>
        </w:rPr>
      </w:pPr>
      <w:r>
        <w:rPr>
          <w:rFonts w:hint="eastAsia" w:eastAsia="宋体" w:cs="Times New Roman"/>
          <w:b/>
          <w:bCs/>
          <w:color w:val="auto"/>
          <w:sz w:val="20"/>
          <w:szCs w:val="20"/>
          <w:highlight w:val="none"/>
          <w:lang w:val="en-US" w:eastAsia="zh-CN" w:bidi="ar-SA"/>
        </w:rPr>
        <w:t>Observation 3: Regarding to all of these UAI, a common concern is raised: Under the high speed of up to 1200km/h, whether the report from UE can be received by the NW in time enough? If not, it would be meaningless.</w:t>
      </w:r>
    </w:p>
    <w:p>
      <w:pPr>
        <w:pStyle w:val="4"/>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 xml:space="preserve">Observation 4: If UE would perform time/frequency pre-compensation, the UAI such as altitude, location, velocity and flight path are almost useless for NW. </w:t>
      </w:r>
    </w:p>
    <w:p>
      <w:pPr>
        <w:pStyle w:val="4"/>
        <w:rPr>
          <w:rFonts w:hint="eastAsia" w:eastAsia="宋体"/>
          <w:color w:val="auto"/>
          <w:sz w:val="20"/>
          <w:szCs w:val="20"/>
          <w:lang w:val="en-US" w:eastAsia="zh-CN"/>
        </w:rPr>
      </w:pPr>
      <w:r>
        <w:rPr>
          <w:rFonts w:hint="eastAsia" w:eastAsia="宋体" w:cs="Times New Roman"/>
          <w:b/>
          <w:bCs/>
          <w:color w:val="auto"/>
          <w:sz w:val="20"/>
          <w:szCs w:val="20"/>
          <w:highlight w:val="none"/>
          <w:lang w:val="en-US" w:eastAsia="zh-CN" w:bidi="ar-SA"/>
        </w:rPr>
        <w:t>Observation 5: When UE estimate the propagation delay, it should predict the value when NW receives such UAI report. The accuracy of such predict would determine the effect.</w:t>
      </w:r>
    </w:p>
    <w:p>
      <w:pPr>
        <w:pStyle w:val="4"/>
        <w:rPr>
          <w:rFonts w:hint="eastAsia" w:eastAsia="宋体"/>
          <w:color w:val="auto"/>
          <w:sz w:val="20"/>
          <w:szCs w:val="20"/>
          <w:lang w:val="en-US" w:eastAsia="zh-CN"/>
        </w:rPr>
      </w:pPr>
      <w:r>
        <w:rPr>
          <w:rFonts w:hint="eastAsia" w:eastAsia="宋体" w:cs="Times New Roman"/>
          <w:b/>
          <w:bCs/>
          <w:color w:val="auto"/>
          <w:sz w:val="20"/>
          <w:szCs w:val="20"/>
          <w:highlight w:val="none"/>
          <w:lang w:val="en-US" w:eastAsia="zh-CN" w:bidi="ar-SA"/>
        </w:rPr>
        <w:t>Observation 6: Regarding to the service related UAI, such as the remaining service time, we are not sure how to estimate such info by UE, Since all scheduling decision is up to NW.</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Based on our above analysis, we can not see obvious motivation and feasibility guarantee to introduce the above UAI report.</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11"/>
        </w:numPr>
        <w:ind w:leftChars="0"/>
        <w:rPr>
          <w:rFonts w:hint="default" w:eastAsia="宋体"/>
          <w:color w:val="auto"/>
          <w:lang w:val="en-US" w:eastAsia="zh-CN"/>
        </w:rPr>
      </w:pPr>
      <w:r>
        <w:rPr>
          <w:rFonts w:hint="eastAsia"/>
          <w:lang w:val="en-US" w:eastAsia="zh-CN"/>
        </w:rPr>
        <w:t>RP-22</w:t>
      </w:r>
      <w:r>
        <w:rPr>
          <w:rFonts w:hint="eastAsia"/>
          <w:highlight w:val="none"/>
          <w:lang w:val="en-US" w:eastAsia="zh-CN"/>
        </w:rPr>
        <w:t>1369</w:t>
      </w:r>
      <w:r>
        <w:rPr>
          <w:rFonts w:hint="eastAsia"/>
          <w:color w:val="auto"/>
          <w:highlight w:val="none"/>
          <w:lang w:val="en-US" w:eastAsia="zh-CN"/>
        </w:rPr>
        <w:t xml:space="preserve"> </w:t>
      </w:r>
      <w:r>
        <w:rPr>
          <w:rFonts w:hint="default"/>
          <w:color w:val="auto"/>
          <w:highlight w:val="none"/>
          <w:lang w:val="en-US" w:eastAsia="zh-CN"/>
        </w:rPr>
        <w:t>“</w:t>
      </w:r>
      <w:r>
        <w:rPr>
          <w:rFonts w:hint="eastAsia"/>
          <w:color w:val="auto"/>
          <w:highlight w:val="none"/>
          <w:lang w:val="en-US" w:eastAsia="zh-CN"/>
        </w:rPr>
        <w:t>Revised WID on Air-to-ground network for NR</w:t>
      </w:r>
      <w:r>
        <w:rPr>
          <w:rFonts w:hint="default"/>
          <w:color w:val="auto"/>
          <w:highlight w:val="none"/>
          <w:lang w:val="en-US" w:eastAsia="zh-CN"/>
        </w:rPr>
        <w:t>”</w:t>
      </w:r>
      <w:r>
        <w:rPr>
          <w:rFonts w:hint="eastAsia"/>
          <w:color w:val="auto"/>
          <w:highlight w:val="none"/>
          <w:lang w:val="en-US" w:eastAsia="zh-CN"/>
        </w:rPr>
        <w:t xml:space="preserve">, CMCC </w:t>
      </w:r>
    </w:p>
    <w:p>
      <w:pPr>
        <w:pStyle w:val="9"/>
        <w:numPr>
          <w:ilvl w:val="0"/>
          <w:numId w:val="11"/>
        </w:numPr>
        <w:ind w:left="0" w:leftChars="0" w:firstLine="0" w:firstLineChars="0"/>
        <w:rPr>
          <w:rFonts w:hint="eastAsia"/>
          <w:color w:val="auto"/>
          <w:lang w:val="en-US" w:eastAsia="zh-CN"/>
        </w:rPr>
      </w:pPr>
      <w:r>
        <w:rPr>
          <w:rFonts w:hint="eastAsia"/>
          <w:color w:val="auto"/>
          <w:lang w:val="en-US" w:eastAsia="zh-CN"/>
        </w:rPr>
        <w:t xml:space="preserve">R4-2220361 </w:t>
      </w:r>
      <w:r>
        <w:rPr>
          <w:rFonts w:hint="default"/>
          <w:color w:val="auto"/>
          <w:lang w:val="en-US" w:eastAsia="zh-CN"/>
        </w:rPr>
        <w:t>“</w:t>
      </w:r>
      <w:bookmarkStart w:id="1" w:name="_Hlk41145953"/>
      <w:r>
        <w:rPr>
          <w:rFonts w:hint="default"/>
          <w:color w:val="auto"/>
          <w:lang w:val="en-US" w:eastAsia="zh-CN"/>
        </w:rPr>
        <w:t>WF on NR ATG RRM</w:t>
      </w:r>
      <w:bookmarkEnd w:id="1"/>
      <w:r>
        <w:rPr>
          <w:rFonts w:hint="default"/>
          <w:color w:val="auto"/>
          <w:lang w:val="en-US" w:eastAsia="zh-CN"/>
        </w:rPr>
        <w:t xml:space="preserve"> requirements”</w:t>
      </w:r>
      <w:r>
        <w:rPr>
          <w:rFonts w:hint="eastAsia"/>
          <w:color w:val="auto"/>
          <w:lang w:val="en-US" w:eastAsia="zh-CN"/>
        </w:rPr>
        <w:t>, CMCC</w:t>
      </w:r>
    </w:p>
    <w:p>
      <w:pPr>
        <w:pStyle w:val="9"/>
        <w:numPr>
          <w:ilvl w:val="0"/>
          <w:numId w:val="11"/>
        </w:numPr>
        <w:ind w:left="0" w:leftChars="0" w:firstLine="0" w:firstLineChars="0"/>
        <w:rPr>
          <w:rFonts w:hint="default"/>
          <w:color w:val="auto"/>
          <w:lang w:val="en-US" w:eastAsia="zh-CN"/>
        </w:rPr>
      </w:pPr>
      <w:r>
        <w:rPr>
          <w:rFonts w:hint="eastAsia"/>
          <w:color w:val="auto"/>
          <w:lang w:val="en-US" w:eastAsia="zh-CN"/>
        </w:rPr>
        <w:t xml:space="preserve">R4-2220542 </w:t>
      </w:r>
      <w:r>
        <w:rPr>
          <w:rFonts w:hint="default"/>
          <w:color w:val="auto"/>
          <w:lang w:val="en-US" w:eastAsia="zh-CN"/>
        </w:rPr>
        <w:t>“WF on ATG co-existence evaluation”</w:t>
      </w:r>
      <w:r>
        <w:rPr>
          <w:rFonts w:hint="eastAsia"/>
          <w:color w:val="auto"/>
          <w:lang w:val="en-US" w:eastAsia="zh-CN"/>
        </w:rPr>
        <w:t>, CMCC</w:t>
      </w: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auto"/>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E9AC91F1"/>
    <w:multiLevelType w:val="singleLevel"/>
    <w:tmpl w:val="E9AC91F1"/>
    <w:lvl w:ilvl="0" w:tentative="0">
      <w:start w:val="1"/>
      <w:numFmt w:val="bullet"/>
      <w:lvlText w:val=""/>
      <w:lvlJc w:val="left"/>
      <w:pPr>
        <w:tabs>
          <w:tab w:val="left" w:pos="420"/>
        </w:tabs>
        <w:ind w:left="840" w:hanging="420"/>
      </w:pPr>
      <w:rPr>
        <w:rFonts w:hint="default" w:ascii="Wingdings" w:hAnsi="Wingdings"/>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1D9EEBAA"/>
    <w:multiLevelType w:val="singleLevel"/>
    <w:tmpl w:val="1D9EEBAA"/>
    <w:lvl w:ilvl="0" w:tentative="0">
      <w:start w:val="1"/>
      <w:numFmt w:val="bullet"/>
      <w:lvlText w:val=""/>
      <w:lvlJc w:val="left"/>
      <w:pPr>
        <w:ind w:left="420" w:hanging="420"/>
      </w:pPr>
      <w:rPr>
        <w:rFonts w:hint="default" w:ascii="Wingdings" w:hAnsi="Wingdings"/>
      </w:rPr>
    </w:lvl>
  </w:abstractNum>
  <w:abstractNum w:abstractNumId="4">
    <w:nsid w:val="3D5DD7F5"/>
    <w:multiLevelType w:val="singleLevel"/>
    <w:tmpl w:val="3D5DD7F5"/>
    <w:lvl w:ilvl="0" w:tentative="0">
      <w:start w:val="1"/>
      <w:numFmt w:val="bullet"/>
      <w:lvlText w:val=""/>
      <w:lvlJc w:val="left"/>
      <w:pPr>
        <w:ind w:left="420" w:hanging="420"/>
      </w:pPr>
      <w:rPr>
        <w:rFonts w:hint="default" w:ascii="Wingdings" w:hAnsi="Wingdings"/>
      </w:rPr>
    </w:lvl>
  </w:abstractNum>
  <w:abstractNum w:abstractNumId="5">
    <w:nsid w:val="3DCA40B1"/>
    <w:multiLevelType w:val="multilevel"/>
    <w:tmpl w:val="3DCA40B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Symbol" w:hAnsi="Symbol"/>
      </w:rPr>
    </w:lvl>
    <w:lvl w:ilvl="2" w:tentative="0">
      <w:start w:val="1"/>
      <w:numFmt w:val="bullet"/>
      <w:lvlText w:val="–"/>
      <w:lvlJc w:val="left"/>
      <w:pPr>
        <w:ind w:left="1260" w:hanging="420"/>
      </w:pPr>
      <w:rPr>
        <w:rFonts w:hint="default" w:ascii="Arial" w:hAnsi="Arial"/>
      </w:rPr>
    </w:lvl>
    <w:lvl w:ilvl="3" w:tentative="0">
      <w:start w:val="1"/>
      <w:numFmt w:val="bullet"/>
      <w:lvlText w:val="-"/>
      <w:lvlJc w:val="left"/>
      <w:pPr>
        <w:ind w:left="1680" w:hanging="420"/>
      </w:pPr>
      <w:rPr>
        <w:rFonts w:hint="default" w:ascii="Times New Roman" w:hAnsi="Times New Roman" w:eastAsia="宋体" w:cs="Times New Roman"/>
      </w:rPr>
    </w:lvl>
    <w:lvl w:ilvl="4" w:tentative="0">
      <w:start w:val="1"/>
      <w:numFmt w:val="bullet"/>
      <w:lvlText w:val="o"/>
      <w:lvlJc w:val="left"/>
      <w:pPr>
        <w:ind w:left="2100" w:hanging="420"/>
      </w:pPr>
      <w:rPr>
        <w:rFonts w:hint="default" w:ascii="Courier New" w:hAnsi="Courier New" w:cs="Courier New"/>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3E50CD3B"/>
    <w:multiLevelType w:val="singleLevel"/>
    <w:tmpl w:val="3E50CD3B"/>
    <w:lvl w:ilvl="0" w:tentative="0">
      <w:start w:val="1"/>
      <w:numFmt w:val="bullet"/>
      <w:lvlText w:val=""/>
      <w:lvlJc w:val="left"/>
      <w:pPr>
        <w:ind w:left="420" w:hanging="420"/>
      </w:pPr>
      <w:rPr>
        <w:rFonts w:hint="default" w:ascii="Wingdings" w:hAnsi="Wingdings"/>
      </w:rPr>
    </w:lvl>
  </w:abstractNum>
  <w:abstractNum w:abstractNumId="7">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9">
    <w:nsid w:val="5DCDF27E"/>
    <w:multiLevelType w:val="singleLevel"/>
    <w:tmpl w:val="5DCDF27E"/>
    <w:lvl w:ilvl="0" w:tentative="0">
      <w:start w:val="1"/>
      <w:numFmt w:val="bullet"/>
      <w:lvlText w:val=""/>
      <w:lvlJc w:val="left"/>
      <w:pPr>
        <w:ind w:left="420" w:hanging="420"/>
      </w:pPr>
      <w:rPr>
        <w:rFonts w:hint="default" w:ascii="Wingdings" w:hAnsi="Wingdings"/>
      </w:rPr>
    </w:lvl>
  </w:abstractNum>
  <w:abstractNum w:abstractNumId="10">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10"/>
  </w:num>
  <w:num w:numId="2">
    <w:abstractNumId w:val="7"/>
  </w:num>
  <w:num w:numId="3">
    <w:abstractNumId w:val="2"/>
  </w:num>
  <w:num w:numId="4">
    <w:abstractNumId w:val="5"/>
  </w:num>
  <w:num w:numId="5">
    <w:abstractNumId w:val="8"/>
  </w:num>
  <w:num w:numId="6">
    <w:abstractNumId w:val="6"/>
  </w:num>
  <w:num w:numId="7">
    <w:abstractNumId w:val="9"/>
  </w:num>
  <w:num w:numId="8">
    <w:abstractNumId w:val="3"/>
  </w:num>
  <w:num w:numId="9">
    <w:abstractNumId w:val="4"/>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3CC"/>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7D0CB3"/>
    <w:rsid w:val="03D4720A"/>
    <w:rsid w:val="04654053"/>
    <w:rsid w:val="04793516"/>
    <w:rsid w:val="047A3CFF"/>
    <w:rsid w:val="05317828"/>
    <w:rsid w:val="05477E90"/>
    <w:rsid w:val="05BB5AB9"/>
    <w:rsid w:val="05C42923"/>
    <w:rsid w:val="06226EA6"/>
    <w:rsid w:val="06963BA6"/>
    <w:rsid w:val="07CD3CDD"/>
    <w:rsid w:val="083E6EA0"/>
    <w:rsid w:val="0855671D"/>
    <w:rsid w:val="089009EB"/>
    <w:rsid w:val="08EA2407"/>
    <w:rsid w:val="09716BCA"/>
    <w:rsid w:val="09D64B23"/>
    <w:rsid w:val="09E644B8"/>
    <w:rsid w:val="0A867423"/>
    <w:rsid w:val="0AB155C2"/>
    <w:rsid w:val="0B12013A"/>
    <w:rsid w:val="0B3D3C2F"/>
    <w:rsid w:val="0BB0429A"/>
    <w:rsid w:val="0BDD6CEC"/>
    <w:rsid w:val="0BFF5FC6"/>
    <w:rsid w:val="0C394019"/>
    <w:rsid w:val="0CD05342"/>
    <w:rsid w:val="0CDB4E5B"/>
    <w:rsid w:val="0DEE745F"/>
    <w:rsid w:val="0F320DDE"/>
    <w:rsid w:val="0FAD3D1E"/>
    <w:rsid w:val="0FF23B33"/>
    <w:rsid w:val="102263EF"/>
    <w:rsid w:val="10997F43"/>
    <w:rsid w:val="10DE7BAE"/>
    <w:rsid w:val="120774A3"/>
    <w:rsid w:val="12112440"/>
    <w:rsid w:val="12887761"/>
    <w:rsid w:val="12C80206"/>
    <w:rsid w:val="14006D19"/>
    <w:rsid w:val="145F7CF8"/>
    <w:rsid w:val="1481754F"/>
    <w:rsid w:val="148F32AB"/>
    <w:rsid w:val="148F5721"/>
    <w:rsid w:val="14AC57CD"/>
    <w:rsid w:val="15ED3E9B"/>
    <w:rsid w:val="164514BE"/>
    <w:rsid w:val="166B2EA9"/>
    <w:rsid w:val="16D4089E"/>
    <w:rsid w:val="16E73296"/>
    <w:rsid w:val="16FB7CA4"/>
    <w:rsid w:val="170F06AA"/>
    <w:rsid w:val="17225508"/>
    <w:rsid w:val="17B07FBC"/>
    <w:rsid w:val="180A6E32"/>
    <w:rsid w:val="183F2CD2"/>
    <w:rsid w:val="1856323E"/>
    <w:rsid w:val="18AF55E3"/>
    <w:rsid w:val="18B077E2"/>
    <w:rsid w:val="18B1519A"/>
    <w:rsid w:val="18CD0507"/>
    <w:rsid w:val="18F36BA5"/>
    <w:rsid w:val="195D7D48"/>
    <w:rsid w:val="1AD01A1B"/>
    <w:rsid w:val="1B61065A"/>
    <w:rsid w:val="1BBF3927"/>
    <w:rsid w:val="1C177B08"/>
    <w:rsid w:val="1C9001C6"/>
    <w:rsid w:val="1C900A6F"/>
    <w:rsid w:val="1CBA2101"/>
    <w:rsid w:val="1D0573D7"/>
    <w:rsid w:val="1D153DC4"/>
    <w:rsid w:val="1D223E0B"/>
    <w:rsid w:val="1D317C9F"/>
    <w:rsid w:val="1E132F88"/>
    <w:rsid w:val="1E2867E9"/>
    <w:rsid w:val="1E853F6F"/>
    <w:rsid w:val="1E9C7BCC"/>
    <w:rsid w:val="1ECC1E3C"/>
    <w:rsid w:val="208364FC"/>
    <w:rsid w:val="208953F9"/>
    <w:rsid w:val="2097232D"/>
    <w:rsid w:val="21014C39"/>
    <w:rsid w:val="21244EB1"/>
    <w:rsid w:val="213964D8"/>
    <w:rsid w:val="21595D04"/>
    <w:rsid w:val="21F13629"/>
    <w:rsid w:val="223236B6"/>
    <w:rsid w:val="2255462C"/>
    <w:rsid w:val="2305377E"/>
    <w:rsid w:val="23901822"/>
    <w:rsid w:val="24122135"/>
    <w:rsid w:val="24D4257E"/>
    <w:rsid w:val="25457F06"/>
    <w:rsid w:val="2572202B"/>
    <w:rsid w:val="2605683C"/>
    <w:rsid w:val="26BB1419"/>
    <w:rsid w:val="27B748AA"/>
    <w:rsid w:val="27CB4CB9"/>
    <w:rsid w:val="281C2F58"/>
    <w:rsid w:val="29642C4B"/>
    <w:rsid w:val="2A34628C"/>
    <w:rsid w:val="2A724D05"/>
    <w:rsid w:val="2A7E505C"/>
    <w:rsid w:val="2AC85686"/>
    <w:rsid w:val="2AD04B5F"/>
    <w:rsid w:val="2BC05B2C"/>
    <w:rsid w:val="2BD617C5"/>
    <w:rsid w:val="2C112837"/>
    <w:rsid w:val="2C9B1252"/>
    <w:rsid w:val="2C9C2786"/>
    <w:rsid w:val="2CC13667"/>
    <w:rsid w:val="2E014790"/>
    <w:rsid w:val="2EE77680"/>
    <w:rsid w:val="2F2F0FC8"/>
    <w:rsid w:val="2FA70460"/>
    <w:rsid w:val="301C6BB6"/>
    <w:rsid w:val="30C9008F"/>
    <w:rsid w:val="319708F2"/>
    <w:rsid w:val="31A8260E"/>
    <w:rsid w:val="31B14C9E"/>
    <w:rsid w:val="332B149D"/>
    <w:rsid w:val="33C522D7"/>
    <w:rsid w:val="344C156B"/>
    <w:rsid w:val="34807672"/>
    <w:rsid w:val="35B06C6A"/>
    <w:rsid w:val="366149EB"/>
    <w:rsid w:val="36941AA2"/>
    <w:rsid w:val="36D37423"/>
    <w:rsid w:val="379D23F9"/>
    <w:rsid w:val="3A185287"/>
    <w:rsid w:val="3A1F46B8"/>
    <w:rsid w:val="3A692CD0"/>
    <w:rsid w:val="3AAE4AA7"/>
    <w:rsid w:val="3AF23299"/>
    <w:rsid w:val="3B270929"/>
    <w:rsid w:val="3B3D5571"/>
    <w:rsid w:val="3B673620"/>
    <w:rsid w:val="3B9A1F29"/>
    <w:rsid w:val="3C6E311D"/>
    <w:rsid w:val="3CE4646B"/>
    <w:rsid w:val="3CFC1228"/>
    <w:rsid w:val="3D5E7AA8"/>
    <w:rsid w:val="3D6F2596"/>
    <w:rsid w:val="3D946587"/>
    <w:rsid w:val="405F175E"/>
    <w:rsid w:val="40C765F3"/>
    <w:rsid w:val="42F869D2"/>
    <w:rsid w:val="43553536"/>
    <w:rsid w:val="44972678"/>
    <w:rsid w:val="451632B9"/>
    <w:rsid w:val="45906394"/>
    <w:rsid w:val="45F60A50"/>
    <w:rsid w:val="46142D0C"/>
    <w:rsid w:val="46263A53"/>
    <w:rsid w:val="46970A81"/>
    <w:rsid w:val="46B036BF"/>
    <w:rsid w:val="46CC320F"/>
    <w:rsid w:val="46F633A5"/>
    <w:rsid w:val="47282363"/>
    <w:rsid w:val="47810C98"/>
    <w:rsid w:val="47924F0A"/>
    <w:rsid w:val="480571D7"/>
    <w:rsid w:val="48F407FD"/>
    <w:rsid w:val="49DC4EAC"/>
    <w:rsid w:val="49E55BC5"/>
    <w:rsid w:val="4A5D0BB5"/>
    <w:rsid w:val="4B600E77"/>
    <w:rsid w:val="4B8F684D"/>
    <w:rsid w:val="4BF02011"/>
    <w:rsid w:val="4C1C63D6"/>
    <w:rsid w:val="4C2D52ED"/>
    <w:rsid w:val="4C864A35"/>
    <w:rsid w:val="4D207A05"/>
    <w:rsid w:val="4D53283E"/>
    <w:rsid w:val="4E015C76"/>
    <w:rsid w:val="4E310026"/>
    <w:rsid w:val="4E4A2325"/>
    <w:rsid w:val="4ED42F55"/>
    <w:rsid w:val="4FC7362A"/>
    <w:rsid w:val="501A6C55"/>
    <w:rsid w:val="50FF2EDD"/>
    <w:rsid w:val="515B1740"/>
    <w:rsid w:val="51B14BED"/>
    <w:rsid w:val="51E51984"/>
    <w:rsid w:val="52526454"/>
    <w:rsid w:val="525C1CEF"/>
    <w:rsid w:val="528B5767"/>
    <w:rsid w:val="52D33625"/>
    <w:rsid w:val="53A3105E"/>
    <w:rsid w:val="53C64B93"/>
    <w:rsid w:val="548A6C60"/>
    <w:rsid w:val="55B1164D"/>
    <w:rsid w:val="55B4735E"/>
    <w:rsid w:val="55BB221D"/>
    <w:rsid w:val="56371459"/>
    <w:rsid w:val="56484633"/>
    <w:rsid w:val="57FF4799"/>
    <w:rsid w:val="58493723"/>
    <w:rsid w:val="58D0053D"/>
    <w:rsid w:val="595A2A3C"/>
    <w:rsid w:val="598C40A0"/>
    <w:rsid w:val="598E25F2"/>
    <w:rsid w:val="59DA647E"/>
    <w:rsid w:val="5A556E1A"/>
    <w:rsid w:val="5BF92FF2"/>
    <w:rsid w:val="5C471E62"/>
    <w:rsid w:val="5C924E81"/>
    <w:rsid w:val="5E2864D0"/>
    <w:rsid w:val="5E494511"/>
    <w:rsid w:val="5EB44FC0"/>
    <w:rsid w:val="5FBA395F"/>
    <w:rsid w:val="60094E5C"/>
    <w:rsid w:val="606F38F4"/>
    <w:rsid w:val="60CB1A8B"/>
    <w:rsid w:val="60EC2CBA"/>
    <w:rsid w:val="61CC2D28"/>
    <w:rsid w:val="635902CD"/>
    <w:rsid w:val="63DA1C8E"/>
    <w:rsid w:val="64706BBE"/>
    <w:rsid w:val="64F03EAD"/>
    <w:rsid w:val="64F2095B"/>
    <w:rsid w:val="65A16A49"/>
    <w:rsid w:val="67A858DB"/>
    <w:rsid w:val="67FE4166"/>
    <w:rsid w:val="68C401C3"/>
    <w:rsid w:val="69A833BD"/>
    <w:rsid w:val="69EF6835"/>
    <w:rsid w:val="6BAB7FC7"/>
    <w:rsid w:val="6D301A35"/>
    <w:rsid w:val="6D566F0F"/>
    <w:rsid w:val="6D836F72"/>
    <w:rsid w:val="6DDE3DAF"/>
    <w:rsid w:val="6DE731FD"/>
    <w:rsid w:val="6E3241BE"/>
    <w:rsid w:val="6E774C75"/>
    <w:rsid w:val="6EB97A9D"/>
    <w:rsid w:val="6EF10A90"/>
    <w:rsid w:val="6EFC7DED"/>
    <w:rsid w:val="6F2A7FBF"/>
    <w:rsid w:val="6FFF1868"/>
    <w:rsid w:val="7007017A"/>
    <w:rsid w:val="715F4C2D"/>
    <w:rsid w:val="71920E5A"/>
    <w:rsid w:val="71B31077"/>
    <w:rsid w:val="722F78FB"/>
    <w:rsid w:val="723C2F8E"/>
    <w:rsid w:val="723D67C5"/>
    <w:rsid w:val="726A5F44"/>
    <w:rsid w:val="72BF60CA"/>
    <w:rsid w:val="72F41282"/>
    <w:rsid w:val="733D0D32"/>
    <w:rsid w:val="73B76769"/>
    <w:rsid w:val="73D411F1"/>
    <w:rsid w:val="74A356B2"/>
    <w:rsid w:val="753811DE"/>
    <w:rsid w:val="75626EA8"/>
    <w:rsid w:val="75BE67D4"/>
    <w:rsid w:val="75C2004C"/>
    <w:rsid w:val="75C759C1"/>
    <w:rsid w:val="76281B03"/>
    <w:rsid w:val="762D64F3"/>
    <w:rsid w:val="762E20AD"/>
    <w:rsid w:val="767E7EFF"/>
    <w:rsid w:val="775B4604"/>
    <w:rsid w:val="77C067C3"/>
    <w:rsid w:val="78074939"/>
    <w:rsid w:val="78911E31"/>
    <w:rsid w:val="78F9732D"/>
    <w:rsid w:val="7922350F"/>
    <w:rsid w:val="792B5470"/>
    <w:rsid w:val="796B3C3F"/>
    <w:rsid w:val="79A66350"/>
    <w:rsid w:val="7A9367CB"/>
    <w:rsid w:val="7AF22571"/>
    <w:rsid w:val="7B0720CF"/>
    <w:rsid w:val="7B4C0E47"/>
    <w:rsid w:val="7B69224B"/>
    <w:rsid w:val="7BE80F25"/>
    <w:rsid w:val="7C1C35A7"/>
    <w:rsid w:val="7C45431D"/>
    <w:rsid w:val="7CEF4E07"/>
    <w:rsid w:val="7D25352B"/>
    <w:rsid w:val="7D3219D5"/>
    <w:rsid w:val="7DDD0501"/>
    <w:rsid w:val="7DE51372"/>
    <w:rsid w:val="7E5E590F"/>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4"/>
    <w:link w:val="22"/>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9"/>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23"/>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9"/>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right" w:pos="8306"/>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4"/>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7"/>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6"/>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5"/>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2023-02-17T12:44:00Z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